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eastAsiaTheme="minorEastAsia" w:cstheme="minorEastAsia"/>
          <w:b/>
          <w:bCs/>
          <w:color w:val="auto"/>
          <w:sz w:val="56"/>
          <w:szCs w:val="84"/>
          <w:highlight w:val="none"/>
        </w:rPr>
      </w:pPr>
      <w:r>
        <w:rPr>
          <w:rFonts w:hint="eastAsia" w:asciiTheme="minorEastAsia" w:hAnsiTheme="minorEastAsia" w:eastAsiaTheme="minorEastAsia" w:cstheme="minorEastAsia"/>
          <w:b/>
          <w:bCs/>
          <w:color w:val="auto"/>
          <w:sz w:val="56"/>
          <w:szCs w:val="84"/>
          <w:highlight w:val="none"/>
        </w:rPr>
      </w:r>
      <w:r/>
    </w:p>
    <w:p>
      <w:pPr>
        <w:jc w:val="center"/>
        <w:spacing w:line="360" w:lineRule="auto"/>
        <w:widowControl/>
        <w:rPr>
          <w:rFonts w:hint="eastAsia" w:asciiTheme="minorEastAsia" w:hAnsiTheme="minorEastAsia" w:eastAsiaTheme="minorEastAsia" w:cstheme="minorEastAsia"/>
          <w:b/>
          <w:color w:val="auto"/>
          <w:sz w:val="80"/>
          <w:szCs w:val="80"/>
          <w:highlight w:val="none"/>
        </w:rPr>
      </w:pPr>
      <w:r>
        <w:rPr>
          <w:rFonts w:hint="eastAsia" w:asciiTheme="minorEastAsia" w:hAnsiTheme="minorEastAsia" w:eastAsiaTheme="minorEastAsia" w:cstheme="minorEastAsia"/>
          <w:b/>
          <w:color w:val="auto"/>
          <w:sz w:val="80"/>
          <w:szCs w:val="80"/>
          <w:highlight w:val="none"/>
        </w:rPr>
      </w:r>
      <w:r/>
    </w:p>
    <w:p>
      <w:pPr>
        <w:jc w:val="center"/>
        <w:spacing w:line="360" w:lineRule="auto"/>
        <w:shd w:val="clear" w:color="auto"/>
        <w:widowControl/>
        <w:rPr>
          <w:rFonts w:hint="eastAsia" w:asciiTheme="minorEastAsia" w:hAnsiTheme="minorEastAsia" w:eastAsiaTheme="minorEastAsia" w:cstheme="minorEastAsia"/>
          <w:b/>
          <w:bCs/>
          <w:color w:val="auto"/>
          <w:sz w:val="92"/>
          <w:szCs w:val="92"/>
          <w:highlight w:val="none"/>
        </w:rPr>
      </w:pPr>
      <w:r>
        <w:rPr>
          <w:rFonts w:hint="eastAsia" w:asciiTheme="minorEastAsia" w:hAnsiTheme="minorEastAsia" w:eastAsiaTheme="minorEastAsia" w:cstheme="minorEastAsia"/>
          <w:b/>
          <w:color w:val="auto"/>
          <w:sz w:val="92"/>
          <w:szCs w:val="92"/>
          <w:highlight w:val="none"/>
        </w:rPr>
        <w:t xml:space="preserve">苏州</w:t>
      </w:r>
      <w:r>
        <w:rPr>
          <w:rFonts w:hint="eastAsia" w:asciiTheme="minorEastAsia" w:hAnsiTheme="minorEastAsia" w:eastAsiaTheme="minorEastAsia" w:cstheme="minorEastAsia"/>
          <w:b/>
          <w:color w:val="auto"/>
          <w:sz w:val="92"/>
          <w:szCs w:val="92"/>
          <w:highlight w:val="none"/>
          <w:lang w:val="en-US" w:eastAsia="zh-CN"/>
        </w:rPr>
        <w:t xml:space="preserve">市</w:t>
      </w:r>
      <w:r>
        <w:rPr>
          <w:rFonts w:hint="eastAsia" w:asciiTheme="minorEastAsia" w:hAnsiTheme="minorEastAsia" w:eastAsiaTheme="minorEastAsia" w:cstheme="minorEastAsia"/>
          <w:b/>
          <w:color w:val="auto"/>
          <w:sz w:val="92"/>
          <w:szCs w:val="92"/>
          <w:highlight w:val="none"/>
        </w:rPr>
        <w:t xml:space="preserve">政府采购</w:t>
      </w:r>
      <w:r/>
    </w:p>
    <w:p>
      <w:pPr>
        <w:jc w:val="center"/>
        <w:spacing w:line="360" w:lineRule="auto"/>
        <w:shd w:val="clear" w:color="auto"/>
        <w:widowControl/>
        <w:rPr>
          <w:rFonts w:hint="eastAsia" w:asciiTheme="minorEastAsia" w:hAnsiTheme="minorEastAsia" w:eastAsiaTheme="minorEastAsia" w:cstheme="minorEastAsia"/>
          <w:b/>
          <w:bCs/>
          <w:color w:val="auto"/>
          <w:sz w:val="96"/>
          <w:szCs w:val="84"/>
          <w:highlight w:val="none"/>
        </w:rPr>
      </w:pPr>
      <w:r>
        <w:rPr>
          <w:rFonts w:hint="eastAsia" w:asciiTheme="minorEastAsia" w:hAnsiTheme="minorEastAsia" w:eastAsiaTheme="minorEastAsia" w:cstheme="minorEastAsia"/>
          <w:b/>
          <w:bCs/>
          <w:color w:val="auto"/>
          <w:sz w:val="92"/>
          <w:szCs w:val="92"/>
          <w:highlight w:val="none"/>
        </w:rPr>
        <w:t xml:space="preserve">招  标  文  件</w:t>
      </w:r>
      <w:r/>
    </w:p>
    <w:p>
      <w:pPr>
        <w:jc w:val="center"/>
        <w:spacing w:line="360" w:lineRule="auto"/>
        <w:shd w:val="clear" w:color="auto"/>
        <w:widowControl/>
        <w:rPr>
          <w:rFonts w:hint="eastAsia" w:asciiTheme="minorEastAsia" w:hAnsiTheme="minorEastAsia" w:eastAsiaTheme="minorEastAsia" w:cstheme="minorEastAsia"/>
          <w:b/>
          <w:bCs/>
          <w:color w:val="auto"/>
          <w:sz w:val="56"/>
          <w:szCs w:val="84"/>
          <w:highlight w:val="none"/>
        </w:rPr>
      </w:pPr>
      <w:r>
        <w:rPr>
          <w:rFonts w:hint="eastAsia" w:asciiTheme="minorEastAsia" w:hAnsiTheme="minorEastAsia" w:eastAsiaTheme="minorEastAsia" w:cstheme="minorEastAsia"/>
          <w:b/>
          <w:bCs/>
          <w:color w:val="auto"/>
          <w:sz w:val="56"/>
          <w:szCs w:val="84"/>
          <w:highlight w:val="none"/>
        </w:rPr>
      </w:r>
      <w:r/>
    </w:p>
    <w:p>
      <w:pPr>
        <w:ind w:left="1680" w:right="840"/>
        <w:spacing w:line="360" w:lineRule="auto"/>
        <w:shd w:val="clear" w:color="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ind w:right="840" w:firstLine="964"/>
        <w:spacing w:line="360" w:lineRule="auto"/>
        <w:shd w:val="clear" w:color="auto"/>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rPr>
        <w:t xml:space="preserve">采购编号：</w:t>
      </w:r>
      <w:r>
        <w:rPr>
          <w:rFonts w:hint="eastAsia" w:asciiTheme="minorEastAsia" w:hAnsiTheme="minorEastAsia" w:eastAsiaTheme="minorEastAsia" w:cstheme="minorEastAsia"/>
          <w:b/>
          <w:color w:val="auto"/>
          <w:sz w:val="32"/>
          <w:szCs w:val="32"/>
          <w:highlight w:val="none"/>
          <w:lang w:eastAsia="zh-CN"/>
        </w:rPr>
        <w:t xml:space="preserve">JSZC-320507-JSWZ-G2025-0025</w:t>
      </w:r>
      <w:r/>
    </w:p>
    <w:p>
      <w:pPr>
        <w:ind w:left="2564" w:right="840" w:hanging="1606"/>
        <w:spacing w:line="360" w:lineRule="auto"/>
        <w:shd w:val="clear" w:color="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2"/>
          <w:szCs w:val="32"/>
          <w:highlight w:val="none"/>
        </w:rPr>
        <w:t xml:space="preserve">采购内容：</w:t>
      </w:r>
      <w:r>
        <w:rPr>
          <w:rFonts w:hint="eastAsia" w:asciiTheme="minorEastAsia" w:hAnsiTheme="minorEastAsia" w:eastAsiaTheme="minorEastAsia" w:cstheme="minorEastAsia"/>
          <w:b/>
          <w:color w:val="auto"/>
          <w:sz w:val="30"/>
          <w:szCs w:val="30"/>
          <w:highlight w:val="none"/>
          <w:lang w:eastAsia="zh-CN"/>
        </w:rPr>
        <w:t xml:space="preserve">相城区澄阳片区交管技防设施提升项目</w:t>
      </w:r>
      <w:r/>
    </w:p>
    <w:p>
      <w:pPr>
        <w:ind w:right="840" w:firstLine="964"/>
        <w:spacing w:line="360" w:lineRule="auto"/>
        <w:shd w:val="clear" w:color="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采购单位：</w:t>
      </w:r>
      <w:r>
        <w:rPr>
          <w:rFonts w:hint="eastAsia" w:asciiTheme="minorEastAsia" w:hAnsiTheme="minorEastAsia" w:eastAsiaTheme="minorEastAsia" w:cstheme="minorEastAsia"/>
          <w:b/>
          <w:color w:val="auto"/>
          <w:sz w:val="32"/>
          <w:szCs w:val="32"/>
          <w:highlight w:val="none"/>
          <w:lang w:eastAsia="zh-CN"/>
        </w:rPr>
        <w:t xml:space="preserve">苏州相城经济技术开发区管理委员会</w:t>
      </w:r>
      <w:r>
        <w:rPr>
          <w:rFonts w:hint="eastAsia" w:asciiTheme="minorEastAsia" w:hAnsiTheme="minorEastAsia" w:eastAsiaTheme="minorEastAsia" w:cstheme="minorEastAsia"/>
          <w:b/>
          <w:color w:val="auto"/>
          <w:sz w:val="32"/>
          <w:szCs w:val="32"/>
          <w:highlight w:val="none"/>
        </w:rPr>
        <w:t xml:space="preserve"> </w:t>
      </w:r>
      <w:r/>
    </w:p>
    <w:p>
      <w:pPr>
        <w:ind w:right="840" w:firstLine="964"/>
        <w:spacing w:line="360" w:lineRule="auto"/>
        <w:shd w:val="clear" w:color="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采购类别：</w:t>
      </w:r>
      <w:r>
        <w:rPr>
          <w:rFonts w:hint="eastAsia" w:asciiTheme="minorEastAsia" w:hAnsiTheme="minorEastAsia" w:eastAsiaTheme="minorEastAsia" w:cstheme="minorEastAsia"/>
          <w:b/>
          <w:color w:val="auto"/>
          <w:sz w:val="32"/>
          <w:szCs w:val="32"/>
          <w:highlight w:val="none"/>
          <w:lang w:val="en-US" w:eastAsia="zh-CN"/>
        </w:rPr>
        <w:t xml:space="preserve">货物</w:t>
      </w:r>
      <w:r>
        <w:rPr>
          <w:rFonts w:hint="eastAsia" w:asciiTheme="minorEastAsia" w:hAnsiTheme="minorEastAsia" w:eastAsiaTheme="minorEastAsia" w:cstheme="minorEastAsia"/>
          <w:b/>
          <w:color w:val="auto"/>
          <w:sz w:val="32"/>
          <w:szCs w:val="32"/>
          <w:highlight w:val="none"/>
        </w:rPr>
        <w:t xml:space="preserve">类</w:t>
      </w:r>
      <w:r/>
    </w:p>
    <w:p>
      <w:pPr>
        <w:jc w:val="center"/>
        <w:spacing w:line="360" w:lineRule="auto"/>
        <w:shd w:val="clear" w:color="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360" w:lineRule="auto"/>
        <w:shd w:val="clear" w:color="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360" w:lineRule="auto"/>
        <w:shd w:val="clear" w:color="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360" w:lineRule="auto"/>
        <w:shd w:val="clear" w:color="auto"/>
        <w:rPr>
          <w:rFonts w:hint="eastAsia" w:asciiTheme="minorEastAsia" w:hAnsiTheme="minorEastAsia" w:eastAsiaTheme="minorEastAsia" w:cstheme="minorEastAsia"/>
          <w:b/>
          <w:color w:val="auto"/>
          <w:sz w:val="32"/>
          <w:highlight w:val="none"/>
          <w:lang w:eastAsia="zh-CN"/>
        </w:rPr>
      </w:pPr>
      <w:r>
        <w:rPr>
          <w:rFonts w:hint="eastAsia" w:asciiTheme="minorEastAsia" w:hAnsiTheme="minorEastAsia" w:eastAsiaTheme="minorEastAsia" w:cstheme="minorEastAsia"/>
          <w:b/>
          <w:color w:val="auto"/>
          <w:sz w:val="32"/>
          <w:highlight w:val="none"/>
          <w:lang w:eastAsia="zh-CN"/>
        </w:rPr>
        <w:t xml:space="preserve">江苏沃咨咨询管理有限公司</w:t>
      </w:r>
      <w:r/>
    </w:p>
    <w:p>
      <w:pPr>
        <w:jc w:val="center"/>
        <w:spacing w:line="360" w:lineRule="auto"/>
        <w:shd w:val="clear" w:color="auto"/>
        <w:rPr>
          <w:rFonts w:hint="eastAsia" w:asciiTheme="minorEastAsia" w:hAnsiTheme="minorEastAsia" w:eastAsiaTheme="minorEastAsia" w:cstheme="minorEastAsia"/>
          <w:b/>
          <w:color w:val="auto"/>
          <w:sz w:val="32"/>
          <w:highlight w:val="none"/>
        </w:rPr>
      </w:pPr>
      <w:r>
        <w:rPr>
          <w:rFonts w:hint="eastAsia" w:asciiTheme="minorEastAsia" w:hAnsiTheme="minorEastAsia" w:eastAsiaTheme="minorEastAsia" w:cstheme="minorEastAsia"/>
          <w:b/>
          <w:color w:val="auto"/>
          <w:sz w:val="32"/>
          <w:highlight w:val="none"/>
        </w:rPr>
        <w:t xml:space="preserve">二○二</w:t>
      </w:r>
      <w:r>
        <w:rPr>
          <w:rFonts w:hint="eastAsia" w:asciiTheme="minorEastAsia" w:hAnsiTheme="minorEastAsia" w:eastAsiaTheme="minorEastAsia" w:cstheme="minorEastAsia"/>
          <w:b/>
          <w:color w:val="auto"/>
          <w:sz w:val="32"/>
          <w:highlight w:val="none"/>
          <w:lang w:val="en-US" w:eastAsia="zh-CN"/>
        </w:rPr>
        <w:t xml:space="preserve">五</w:t>
      </w:r>
      <w:r>
        <w:rPr>
          <w:rFonts w:hint="eastAsia" w:asciiTheme="minorEastAsia" w:hAnsiTheme="minorEastAsia" w:eastAsiaTheme="minorEastAsia" w:cstheme="minorEastAsia"/>
          <w:b/>
          <w:color w:val="auto"/>
          <w:sz w:val="32"/>
          <w:highlight w:val="none"/>
        </w:rPr>
        <w:t xml:space="preserve">年</w:t>
      </w:r>
      <w:r>
        <w:rPr>
          <w:rFonts w:hint="eastAsia" w:asciiTheme="minorEastAsia" w:hAnsiTheme="minorEastAsia" w:eastAsiaTheme="minorEastAsia" w:cstheme="minorEastAsia"/>
          <w:b/>
          <w:color w:val="auto"/>
          <w:sz w:val="32"/>
          <w:highlight w:val="none"/>
          <w:lang w:val="en-US" w:eastAsia="zh-CN"/>
        </w:rPr>
        <w:t xml:space="preserve">十二</w:t>
      </w:r>
      <w:r>
        <w:rPr>
          <w:rFonts w:hint="eastAsia" w:asciiTheme="minorEastAsia" w:hAnsiTheme="minorEastAsia" w:eastAsiaTheme="minorEastAsia" w:cstheme="minorEastAsia"/>
          <w:b/>
          <w:color w:val="auto"/>
          <w:sz w:val="32"/>
          <w:highlight w:val="none"/>
        </w:rPr>
        <w:t xml:space="preserve">月</w:t>
      </w:r>
      <w:r/>
    </w:p>
    <w:p>
      <w:pPr>
        <w:jc w:val="center"/>
        <w:spacing w:line="360" w:lineRule="auto"/>
        <w:shd w:val="clear" w:color="auto"/>
        <w:rPr>
          <w:rFonts w:hint="eastAsia" w:asciiTheme="minorEastAsia" w:hAnsiTheme="minorEastAsia" w:eastAsiaTheme="minorEastAsia" w:cstheme="minorEastAsia"/>
          <w:b/>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br w:type="page" w:clear="all"/>
      </w:r>
      <w:bookmarkStart w:id="0" w:name="_Toc492294162"/>
      <w:r>
        <w:rPr>
          <w:rFonts w:hint="eastAsia" w:asciiTheme="minorEastAsia" w:hAnsiTheme="minorEastAsia" w:eastAsiaTheme="minorEastAsia" w:cstheme="minorEastAsia"/>
          <w:b/>
          <w:color w:val="auto"/>
          <w:sz w:val="32"/>
          <w:szCs w:val="32"/>
          <w:highlight w:val="none"/>
        </w:rPr>
        <w:t xml:space="preserve">前附表</w:t>
      </w:r>
      <w:bookmarkEnd w:id="0"/>
      <w:r/>
      <w:r/>
    </w:p>
    <w:tbl>
      <w:tblPr>
        <w:tblStyle w:val="736"/>
        <w:tblW w:w="995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4"/>
        <w:gridCol w:w="2103"/>
        <w:gridCol w:w="7124"/>
      </w:tblGrid>
      <w:tr>
        <w:trPr>
          <w:jc w:val="center"/>
          <w:trHeight w:val="340"/>
          <w:tblHeader/>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b/>
                <w:color w:val="auto"/>
                <w:sz w:val="21"/>
                <w:szCs w:val="21"/>
                <w:highlight w:val="none"/>
                <w:lang w:eastAsia="en-US"/>
              </w:rPr>
            </w:pPr>
            <w:r>
              <w:rPr>
                <w:rFonts w:hint="eastAsia" w:asciiTheme="minorEastAsia" w:hAnsiTheme="minorEastAsia" w:eastAsiaTheme="minorEastAsia" w:cstheme="minorEastAsia"/>
                <w:b/>
                <w:color w:val="auto"/>
                <w:sz w:val="21"/>
                <w:szCs w:val="21"/>
                <w:highlight w:val="none"/>
                <w:lang w:eastAsia="en-US"/>
              </w:rPr>
              <w:t xml:space="preserve">序号</w:t>
            </w:r>
            <w:r/>
          </w:p>
        </w:tc>
        <w:tc>
          <w:tcPr>
            <w:tcW w:w="2103"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b/>
                <w:color w:val="auto"/>
                <w:sz w:val="21"/>
                <w:szCs w:val="21"/>
                <w:highlight w:val="none"/>
                <w:lang w:eastAsia="en-US"/>
              </w:rPr>
            </w:pPr>
            <w:r>
              <w:rPr>
                <w:rFonts w:hint="eastAsia" w:asciiTheme="minorEastAsia" w:hAnsiTheme="minorEastAsia" w:eastAsiaTheme="minorEastAsia" w:cstheme="minorEastAsia"/>
                <w:b/>
                <w:color w:val="auto"/>
                <w:sz w:val="21"/>
                <w:szCs w:val="21"/>
                <w:highlight w:val="none"/>
                <w:lang w:eastAsia="en-US"/>
              </w:rPr>
              <w:t xml:space="preserve">名  称</w:t>
            </w:r>
            <w:r/>
          </w:p>
        </w:tc>
        <w:tc>
          <w:tcPr>
            <w:tcW w:w="71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b/>
                <w:color w:val="auto"/>
                <w:sz w:val="21"/>
                <w:szCs w:val="21"/>
                <w:highlight w:val="none"/>
                <w:lang w:eastAsia="en-US"/>
              </w:rPr>
            </w:pPr>
            <w:r>
              <w:rPr>
                <w:rFonts w:hint="eastAsia" w:asciiTheme="minorEastAsia" w:hAnsiTheme="minorEastAsia" w:eastAsiaTheme="minorEastAsia" w:cstheme="minorEastAsia"/>
                <w:b/>
                <w:color w:val="auto"/>
                <w:sz w:val="21"/>
                <w:szCs w:val="21"/>
                <w:highlight w:val="none"/>
                <w:lang w:eastAsia="en-US"/>
              </w:rPr>
              <w:t xml:space="preserve">内      容</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1</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招标编号</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 xml:space="preserve">JSZC-320507-JSWZ-G2025-0025</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2</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招标内容</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 xml:space="preserve">相城区澄阳片区交管技防设施提升项目</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3</w:t>
            </w:r>
            <w:r/>
          </w:p>
        </w:tc>
        <w:tc>
          <w:tcPr>
            <w:tcW w:w="2103" w:type="dxa"/>
            <w:vAlign w:val="center"/>
            <w:textDirection w:val="lrTb"/>
            <w:noWrap w:val="false"/>
          </w:tcPr>
          <w:p>
            <w:pPr>
              <w:ind w:left="105" w:hanging="105"/>
              <w:spacing w:line="32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招标单位</w:t>
            </w:r>
            <w:r/>
          </w:p>
        </w:tc>
        <w:tc>
          <w:tcPr>
            <w:tcW w:w="7124" w:type="dxa"/>
            <w:vAlign w:val="center"/>
            <w:textDirection w:val="lrTb"/>
            <w:noWrap w:val="false"/>
          </w:tcPr>
          <w:p>
            <w:pPr>
              <w:spacing w:line="320" w:lineRule="exact"/>
              <w:shd w:val="clear" w:color="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名称：苏州相城经济技术开发区管理委员会  </w:t>
            </w:r>
            <w:r/>
          </w:p>
          <w:p>
            <w:pPr>
              <w:spacing w:line="320" w:lineRule="exact"/>
              <w:shd w:val="clear" w:color="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联系地址：苏州市相城区蠡塘河路900号</w:t>
            </w:r>
            <w:r/>
          </w:p>
          <w:p>
            <w:pPr>
              <w:spacing w:line="320" w:lineRule="exact"/>
              <w:shd w:val="clear" w:color="auto"/>
              <w:tabs>
                <w:tab w:val="left" w:pos="3600" w:leader="none"/>
              </w:tabs>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rPr>
              <w:t xml:space="preserve">联系人：顾樱烨</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4</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招标代理机构</w:t>
            </w:r>
            <w:r/>
          </w:p>
        </w:tc>
        <w:tc>
          <w:tcPr>
            <w:tcW w:w="7124" w:type="dxa"/>
            <w:vAlign w:val="center"/>
            <w:textDirection w:val="lrTb"/>
            <w:noWrap w:val="false"/>
          </w:tcPr>
          <w:p>
            <w:pPr>
              <w:spacing w:line="320" w:lineRule="exact"/>
              <w:shd w:val="clear" w:color="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  称：江苏沃咨咨询管理有限公司</w:t>
            </w:r>
            <w:r/>
          </w:p>
          <w:p>
            <w:pPr>
              <w:spacing w:line="320" w:lineRule="exact"/>
              <w:shd w:val="clear" w:color="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址：苏州市相城区澄阳路188号数字金融产业园B座22层2203室</w:t>
            </w:r>
            <w:r/>
          </w:p>
          <w:p>
            <w:pPr>
              <w:spacing w:line="320" w:lineRule="exact"/>
              <w:shd w:val="clear" w:color="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 系 人：张佳、吴海东</w:t>
            </w:r>
            <w:r/>
          </w:p>
          <w:p>
            <w:pPr>
              <w:spacing w:line="320" w:lineRule="exact"/>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szCs w:val="21"/>
                <w:highlight w:val="none"/>
              </w:rPr>
              <w:t xml:space="preserve">联系电话：0512-65168321</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5</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投标有效期</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六十</w:t>
            </w:r>
            <w:r>
              <w:rPr>
                <w:rFonts w:hint="eastAsia" w:asciiTheme="minorEastAsia" w:hAnsiTheme="minorEastAsia" w:eastAsiaTheme="minorEastAsia" w:cstheme="minorEastAsia"/>
                <w:color w:val="auto"/>
                <w:sz w:val="21"/>
                <w:szCs w:val="21"/>
                <w:highlight w:val="none"/>
                <w:lang w:eastAsia="en-US"/>
              </w:rPr>
              <w:t xml:space="preserve">天（日历天）</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6</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投标保证金</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无</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position w:val="6"/>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7</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position w:val="6"/>
                <w:sz w:val="21"/>
                <w:szCs w:val="21"/>
                <w:highlight w:val="none"/>
              </w:rPr>
            </w:pPr>
            <w:r>
              <w:rPr>
                <w:rFonts w:hint="eastAsia" w:asciiTheme="minorEastAsia" w:hAnsiTheme="minorEastAsia" w:eastAsiaTheme="minorEastAsia" w:cstheme="minorEastAsia"/>
                <w:color w:val="auto"/>
                <w:sz w:val="21"/>
                <w:szCs w:val="21"/>
                <w:highlight w:val="none"/>
              </w:rPr>
              <w:t xml:space="preserve">报名截止时间</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202</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12</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25</w:t>
            </w:r>
            <w:r>
              <w:rPr>
                <w:rFonts w:hint="eastAsia" w:asciiTheme="minorEastAsia" w:hAnsiTheme="minorEastAsia" w:eastAsiaTheme="minorEastAsia" w:cstheme="minorEastAsia"/>
                <w:color w:val="auto"/>
                <w:sz w:val="21"/>
                <w:szCs w:val="21"/>
                <w:highlight w:val="none"/>
                <w:u w:val="single"/>
              </w:rPr>
              <w:t xml:space="preserve">日</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8</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投标文件网上</w:t>
            </w:r>
            <w:r/>
          </w:p>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提交截止时间</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2026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01</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08</w:t>
            </w:r>
            <w:r>
              <w:rPr>
                <w:rFonts w:hint="eastAsia" w:asciiTheme="minorEastAsia" w:hAnsiTheme="minorEastAsia" w:eastAsiaTheme="minorEastAsia" w:cstheme="minorEastAsia"/>
                <w:color w:val="auto"/>
                <w:sz w:val="21"/>
                <w:szCs w:val="21"/>
                <w:highlight w:val="none"/>
                <w:u w:val="single"/>
              </w:rPr>
              <w:t xml:space="preserve">日13点30分</w:t>
            </w:r>
            <w:r>
              <w:rPr>
                <w:rFonts w:hint="eastAsia" w:asciiTheme="minorEastAsia" w:hAnsiTheme="minorEastAsia" w:eastAsiaTheme="minorEastAsia" w:cstheme="minorEastAsia"/>
                <w:color w:val="auto"/>
                <w:sz w:val="21"/>
                <w:szCs w:val="21"/>
                <w:highlight w:val="none"/>
              </w:rPr>
              <w:t xml:space="preserve">（北京时间）</w:t>
            </w:r>
            <w:r/>
          </w:p>
          <w:p>
            <w:pPr>
              <w:spacing w:line="32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投标文件必须在截止时间前完成提交（上传），逾期提交（上传）的投标文件恕不接受。</w:t>
            </w:r>
            <w:r/>
          </w:p>
        </w:tc>
      </w:tr>
      <w:tr>
        <w:trPr>
          <w:jc w:val="center"/>
          <w:trHeight w:val="59"/>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9</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开标时间</w:t>
            </w:r>
            <w:r/>
          </w:p>
          <w:p>
            <w:pP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开标地点</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01</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08</w:t>
            </w:r>
            <w:r>
              <w:rPr>
                <w:rFonts w:hint="eastAsia" w:asciiTheme="minorEastAsia" w:hAnsiTheme="minorEastAsia" w:eastAsiaTheme="minorEastAsia" w:cstheme="minorEastAsia"/>
                <w:color w:val="auto"/>
                <w:sz w:val="21"/>
                <w:szCs w:val="21"/>
                <w:highlight w:val="none"/>
                <w:u w:val="single"/>
              </w:rPr>
              <w:t xml:space="preserve">日13点30分</w:t>
            </w:r>
            <w:r>
              <w:rPr>
                <w:rFonts w:hint="eastAsia" w:asciiTheme="minorEastAsia" w:hAnsiTheme="minorEastAsia" w:eastAsiaTheme="minorEastAsia" w:cstheme="minorEastAsia"/>
                <w:color w:val="auto"/>
                <w:sz w:val="21"/>
                <w:szCs w:val="21"/>
                <w:highlight w:val="none"/>
              </w:rPr>
              <w:t xml:space="preserve">（北京时间）</w:t>
            </w:r>
            <w:r/>
          </w:p>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“苏采云”系统（网址：http://jszfcg.jsczt.cn/）</w:t>
            </w:r>
            <w:r/>
          </w:p>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评标时间</w:t>
            </w:r>
            <w:r/>
          </w:p>
          <w:p>
            <w:pP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评标</w:t>
            </w:r>
            <w:r>
              <w:rPr>
                <w:rFonts w:hint="eastAsia" w:asciiTheme="minorEastAsia" w:hAnsiTheme="minorEastAsia" w:eastAsiaTheme="minorEastAsia" w:cstheme="minorEastAsia"/>
                <w:color w:val="auto"/>
                <w:sz w:val="21"/>
                <w:szCs w:val="21"/>
                <w:highlight w:val="none"/>
              </w:rPr>
              <w:t xml:space="preserve">地点</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2026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01</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08</w:t>
            </w:r>
            <w:r>
              <w:rPr>
                <w:rFonts w:hint="eastAsia" w:asciiTheme="minorEastAsia" w:hAnsiTheme="minorEastAsia" w:eastAsiaTheme="minorEastAsia" w:cstheme="minorEastAsia"/>
                <w:color w:val="auto"/>
                <w:sz w:val="21"/>
                <w:szCs w:val="21"/>
                <w:highlight w:val="none"/>
                <w:u w:val="single"/>
              </w:rPr>
              <w:t xml:space="preserve">日13点30分</w:t>
            </w:r>
            <w:r>
              <w:rPr>
                <w:rFonts w:hint="eastAsia" w:asciiTheme="minorEastAsia" w:hAnsiTheme="minorEastAsia" w:eastAsiaTheme="minorEastAsia" w:cstheme="minorEastAsia"/>
                <w:color w:val="auto"/>
                <w:sz w:val="21"/>
                <w:szCs w:val="21"/>
                <w:highlight w:val="none"/>
              </w:rPr>
              <w:t xml:space="preserve">（北京时间）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苏州市高新区邓尉路105号狮山科技馆8楼</w:t>
            </w:r>
            <w:r/>
            <w:r>
              <w:rPr>
                <w:rFonts w:hint="eastAsia" w:asciiTheme="minorEastAsia" w:hAnsiTheme="minorEastAsia" w:eastAsiaTheme="minorEastAsia" w:cstheme="minorEastAsia"/>
                <w:color w:val="auto"/>
                <w:sz w:val="21"/>
                <w:szCs w:val="21"/>
                <w:highlight w:val="none"/>
              </w:rPr>
            </w:r>
            <w:r/>
            <w:r>
              <w:rPr>
                <w:rFonts w:hint="eastAsia" w:asciiTheme="minorEastAsia" w:hAnsiTheme="minorEastAsia" w:eastAsiaTheme="minorEastAsia" w:cstheme="minorEastAsia"/>
                <w:color w:val="auto"/>
                <w:sz w:val="21"/>
                <w:szCs w:val="21"/>
                <w:highlight w:val="none"/>
              </w:rPr>
              <w:t xml:space="preserve"> </w:t>
            </w:r>
            <w:r/>
            <w:r>
              <w:rPr>
                <w:sz w:val="28"/>
              </w:rP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11</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投标文件份数</w:t>
            </w:r>
            <w:r/>
          </w:p>
        </w:tc>
        <w:tc>
          <w:tcPr>
            <w:tcW w:w="7124" w:type="dxa"/>
            <w:vAlign w:val="center"/>
            <w:textDirection w:val="lrTb"/>
            <w:noWrap w:val="false"/>
          </w:tcPr>
          <w:p>
            <w:pPr>
              <w:spacing w:line="320" w:lineRule="exact"/>
              <w:shd w:val="clear" w:color="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本项目采用电子投标文件，投标人按照招标文件要求制作上传电子投标文件，投标人无需提供纸质投标文件。</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12</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投标报价本位币</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41"/>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13</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履约保证金</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无</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p>
        </w:tc>
        <w:tc>
          <w:tcPr>
            <w:tcW w:w="2103"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rPr>
              <w:t xml:space="preserve">中标通知书</w:t>
            </w:r>
            <w:r/>
          </w:p>
        </w:tc>
        <w:tc>
          <w:tcPr>
            <w:tcW w:w="7124" w:type="dxa"/>
            <w:vAlign w:val="center"/>
            <w:textDirection w:val="lrTb"/>
            <w:noWrap w:val="false"/>
          </w:tcPr>
          <w:p>
            <w:pPr>
              <w:spacing w:line="320" w:lineRule="exact"/>
              <w:shd w:val="clear" w:color="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确定出中标人后，采购代理机构在法定时间内向中标人发出中标通知书。中标通知书将成为合同的组成部分。</w:t>
            </w:r>
            <w:r/>
          </w:p>
          <w:p>
            <w:pPr>
              <w:spacing w:line="320" w:lineRule="exact"/>
              <w:shd w:val="clear" w:color="auto"/>
              <w:tabs>
                <w:tab w:val="left" w:pos="360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请中标人在中标结果公告届满之日起30日内,使用CA证书登录“苏采云”系统及时下载中标通知书。</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5</w:t>
            </w:r>
            <w:r/>
          </w:p>
        </w:tc>
        <w:tc>
          <w:tcPr>
            <w:tcW w:w="2103" w:type="dxa"/>
            <w:vAlign w:val="center"/>
            <w:textDirection w:val="lrTb"/>
            <w:noWrap w:val="false"/>
          </w:tcPr>
          <w:p>
            <w:pPr>
              <w:jc w:val="left"/>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中标服务费</w:t>
            </w:r>
            <w:r/>
          </w:p>
        </w:tc>
        <w:tc>
          <w:tcPr>
            <w:tcW w:w="7124" w:type="dxa"/>
            <w:vAlign w:val="center"/>
            <w:textDirection w:val="lrTb"/>
            <w:noWrap w:val="false"/>
          </w:tcPr>
          <w:p>
            <w:pPr>
              <w:ind w:right="-159"/>
              <w:spacing w:line="320" w:lineRule="exact"/>
              <w:shd w:val="clear" w:color="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领取中标通知书时中标人向采购代理机构一次性付清：预算金额100万以下费率为预算金额的1.5%；预算金额100万（含）-500万费率为预算金额的1.1%；预算金额500万（含）-1000万费率为预算金额的0.8%按差额定率累进法计算并支付中标服务费。</w:t>
            </w:r>
            <w:r/>
          </w:p>
          <w:p>
            <w:pPr>
              <w:spacing w:line="320" w:lineRule="exact"/>
              <w:shd w:val="clear" w:color="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账户名：江苏沃咨咨询管理有限公司沃新分公司</w:t>
            </w:r>
            <w:r/>
          </w:p>
          <w:p>
            <w:pPr>
              <w:spacing w:line="320" w:lineRule="exact"/>
              <w:shd w:val="clear" w:color="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开户银行：招商银行股份有限公司苏州姑苏支行</w:t>
            </w:r>
            <w:r/>
          </w:p>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账号：512912655310501</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6</w:t>
            </w:r>
            <w:r/>
          </w:p>
        </w:tc>
        <w:tc>
          <w:tcPr>
            <w:tcW w:w="2103" w:type="dxa"/>
            <w:vAlign w:val="center"/>
            <w:textDirection w:val="lrTb"/>
            <w:noWrap w:val="false"/>
          </w:tcPr>
          <w:p>
            <w:pPr>
              <w:jc w:val="left"/>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en-US"/>
              </w:rPr>
              <w:t xml:space="preserve">评分标准</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详见第六章评分标准。</w:t>
            </w:r>
            <w:r/>
          </w:p>
        </w:tc>
      </w:tr>
      <w:tr>
        <w:trPr>
          <w:jc w:val="center"/>
          <w:trHeight w:val="340"/>
        </w:trPr>
        <w:tc>
          <w:tcPr>
            <w:tcW w:w="724" w:type="dxa"/>
            <w:vAlign w:val="center"/>
            <w:textDirection w:val="lrTb"/>
            <w:noWrap w:val="false"/>
          </w:tcPr>
          <w:p>
            <w:pPr>
              <w:jc w:val="center"/>
              <w:spacing w:line="320" w:lineRule="exact"/>
              <w:shd w:val="clear" w:color="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2103" w:type="dxa"/>
            <w:vAlign w:val="center"/>
            <w:textDirection w:val="lrTb"/>
            <w:noWrap w:val="false"/>
          </w:tcPr>
          <w:p>
            <w:pPr>
              <w:jc w:val="left"/>
              <w:spacing w:line="320" w:lineRule="exact"/>
              <w:shd w:val="clear" w:color="auto"/>
              <w:rPr>
                <w:rFonts w:hint="eastAsia" w:asciiTheme="minorEastAsia" w:hAnsiTheme="minorEastAsia" w:eastAsiaTheme="minorEastAsia" w:cstheme="minorEastAsia"/>
                <w:color w:val="auto"/>
                <w:sz w:val="21"/>
                <w:szCs w:val="21"/>
                <w:highlight w:val="none"/>
                <w:lang w:eastAsia="en-US"/>
              </w:rPr>
            </w:pPr>
            <w:r>
              <w:rPr>
                <w:rFonts w:hint="eastAsia" w:asciiTheme="minorEastAsia" w:hAnsiTheme="minorEastAsia" w:eastAsiaTheme="minorEastAsia" w:cstheme="minorEastAsia"/>
                <w:color w:val="auto"/>
                <w:sz w:val="21"/>
                <w:szCs w:val="21"/>
                <w:highlight w:val="none"/>
                <w:lang w:eastAsia="en-US"/>
              </w:rPr>
              <w:t xml:space="preserve">评标方法</w:t>
            </w:r>
            <w:r/>
          </w:p>
        </w:tc>
        <w:tc>
          <w:tcPr>
            <w:tcW w:w="7124" w:type="dxa"/>
            <w:vAlign w:val="center"/>
            <w:textDirection w:val="lrTb"/>
            <w:noWrap w:val="false"/>
          </w:tcPr>
          <w:p>
            <w:pPr>
              <w:spacing w:line="32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用综合评分方法得分最高的投标单位为中标单位。</w:t>
            </w:r>
            <w:r/>
          </w:p>
        </w:tc>
      </w:tr>
    </w:tbl>
    <w:p>
      <w:pPr>
        <w:jc w:val="center"/>
        <w:spacing w:line="360" w:lineRule="auto"/>
        <w:shd w:val="clear" w:color="auto"/>
        <w:rPr>
          <w:rFonts w:hint="eastAsia" w:asciiTheme="minorEastAsia" w:hAnsiTheme="minorEastAsia" w:eastAsiaTheme="minorEastAsia" w:cstheme="minorEastAsia"/>
          <w:b/>
          <w:color w:val="auto"/>
          <w:sz w:val="48"/>
          <w:szCs w:val="48"/>
          <w:highlight w:val="none"/>
        </w:rPr>
      </w:pPr>
      <w:r>
        <w:rPr>
          <w:rFonts w:hint="eastAsia" w:asciiTheme="minorEastAsia" w:hAnsiTheme="minorEastAsia" w:eastAsiaTheme="minorEastAsia" w:cstheme="minorEastAsia"/>
          <w:color w:val="auto"/>
          <w:sz w:val="32"/>
          <w:szCs w:val="32"/>
          <w:highlight w:val="none"/>
        </w:rPr>
        <w:br w:type="page" w:clear="all"/>
      </w:r>
      <w:bookmarkStart w:id="1" w:name="_Toc492294163"/>
      <w:r>
        <w:rPr>
          <w:rFonts w:hint="eastAsia" w:asciiTheme="minorEastAsia" w:hAnsiTheme="minorEastAsia" w:eastAsiaTheme="minorEastAsia" w:cstheme="minorEastAsia"/>
          <w:b/>
          <w:color w:val="auto"/>
          <w:sz w:val="48"/>
          <w:szCs w:val="48"/>
          <w:highlight w:val="none"/>
        </w:rPr>
        <w:t xml:space="preserve">总目录</w:t>
      </w:r>
      <w:r/>
    </w:p>
    <w:p>
      <w:pPr>
        <w:pStyle w:val="746"/>
        <w:jc w:val="center"/>
        <w:shd w:val="clear" w:color="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fldChar w:fldCharType="begin"/>
      </w:r>
      <w:r>
        <w:rPr>
          <w:rFonts w:hint="eastAsia" w:asciiTheme="minorEastAsia" w:hAnsiTheme="minorEastAsia" w:eastAsiaTheme="minorEastAsia" w:cstheme="minorEastAsia"/>
          <w:b/>
          <w:color w:val="auto"/>
          <w:sz w:val="28"/>
          <w:szCs w:val="28"/>
          <w:highlight w:val="none"/>
        </w:rPr>
        <w:instrText xml:space="preserve"> TOC \o "1-1" \h \z \u </w:instrText>
      </w:r>
      <w:r>
        <w:rPr>
          <w:rFonts w:hint="eastAsia" w:asciiTheme="minorEastAsia" w:hAnsiTheme="minorEastAsia" w:eastAsiaTheme="minorEastAsia" w:cstheme="minorEastAsia"/>
          <w:b/>
          <w:color w:val="auto"/>
          <w:sz w:val="28"/>
          <w:szCs w:val="28"/>
          <w:highlight w:val="none"/>
        </w:rPr>
        <w:fldChar w:fldCharType="separate"/>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"_Toc35951271" </w:instrText>
      </w:r>
      <w:r>
        <w:rPr>
          <w:rFonts w:hint="eastAsia" w:asciiTheme="minorEastAsia" w:hAnsiTheme="minorEastAsia" w:eastAsiaTheme="minorEastAsia" w:cstheme="minorEastAsia"/>
          <w:color w:val="auto"/>
          <w:highlight w:val="none"/>
        </w:rPr>
        <w:fldChar w:fldCharType="separate"/>
      </w:r>
      <w:r>
        <w:rPr>
          <w:rStyle w:val="750"/>
          <w:rFonts w:hint="eastAsia" w:asciiTheme="minorEastAsia" w:hAnsiTheme="minorEastAsia" w:eastAsiaTheme="minorEastAsia" w:cstheme="minorEastAsia"/>
          <w:b/>
          <w:color w:val="auto"/>
          <w:sz w:val="28"/>
          <w:szCs w:val="28"/>
          <w:highlight w:val="none"/>
        </w:rPr>
        <w:t xml:space="preserve">第一章 招标公告</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_Toc35951271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4</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746"/>
        <w:jc w:val="center"/>
        <w:shd w:val="clear" w:color="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"_Toc35951272" </w:instrText>
      </w:r>
      <w:r>
        <w:rPr>
          <w:rFonts w:hint="eastAsia" w:asciiTheme="minorEastAsia" w:hAnsiTheme="minorEastAsia" w:eastAsiaTheme="minorEastAsia" w:cstheme="minorEastAsia"/>
          <w:color w:val="auto"/>
          <w:highlight w:val="none"/>
        </w:rPr>
        <w:fldChar w:fldCharType="separate"/>
      </w:r>
      <w:r>
        <w:rPr>
          <w:rStyle w:val="750"/>
          <w:rFonts w:hint="eastAsia" w:asciiTheme="minorEastAsia" w:hAnsiTheme="minorEastAsia" w:eastAsiaTheme="minorEastAsia" w:cstheme="minorEastAsia"/>
          <w:b/>
          <w:color w:val="auto"/>
          <w:sz w:val="28"/>
          <w:szCs w:val="28"/>
          <w:highlight w:val="none"/>
        </w:rPr>
        <w:t xml:space="preserve">第二章 投标人须知</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_Toc35951272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746"/>
        <w:jc w:val="center"/>
        <w:shd w:val="clear" w:color="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"_Toc35951273" </w:instrText>
      </w:r>
      <w:r>
        <w:rPr>
          <w:rFonts w:hint="eastAsia" w:asciiTheme="minorEastAsia" w:hAnsiTheme="minorEastAsia" w:eastAsiaTheme="minorEastAsia" w:cstheme="minorEastAsia"/>
          <w:color w:val="auto"/>
          <w:highlight w:val="none"/>
        </w:rPr>
        <w:fldChar w:fldCharType="separate"/>
      </w:r>
      <w:r>
        <w:rPr>
          <w:rStyle w:val="750"/>
          <w:rFonts w:hint="eastAsia" w:asciiTheme="minorEastAsia" w:hAnsiTheme="minorEastAsia" w:eastAsiaTheme="minorEastAsia" w:cstheme="minorEastAsia"/>
          <w:b/>
          <w:color w:val="auto"/>
          <w:sz w:val="28"/>
          <w:szCs w:val="28"/>
          <w:highlight w:val="none"/>
        </w:rPr>
        <w:t xml:space="preserve">第三章 投标文件格式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_Toc35951273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17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746"/>
        <w:jc w:val="center"/>
        <w:shd w:val="clear" w:color="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"_Toc35951274" </w:instrText>
      </w:r>
      <w:r>
        <w:rPr>
          <w:rFonts w:hint="eastAsia" w:asciiTheme="minorEastAsia" w:hAnsiTheme="minorEastAsia" w:eastAsiaTheme="minorEastAsia" w:cstheme="minorEastAsia"/>
          <w:color w:val="auto"/>
          <w:highlight w:val="none"/>
        </w:rPr>
        <w:fldChar w:fldCharType="separate"/>
      </w:r>
      <w:r>
        <w:rPr>
          <w:rStyle w:val="750"/>
          <w:rFonts w:hint="eastAsia" w:asciiTheme="minorEastAsia" w:hAnsiTheme="minorEastAsia" w:eastAsiaTheme="minorEastAsia" w:cstheme="minorEastAsia"/>
          <w:b/>
          <w:color w:val="auto"/>
          <w:sz w:val="28"/>
          <w:szCs w:val="28"/>
          <w:highlight w:val="none"/>
        </w:rPr>
        <w:t xml:space="preserve">第四章 招标书</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_Toc35951274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746"/>
        <w:jc w:val="center"/>
        <w:shd w:val="clear" w:color="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"_Toc35951275" </w:instrText>
      </w:r>
      <w:r>
        <w:rPr>
          <w:rFonts w:hint="eastAsia" w:asciiTheme="minorEastAsia" w:hAnsiTheme="minorEastAsia" w:eastAsiaTheme="minorEastAsia" w:cstheme="minorEastAsia"/>
          <w:color w:val="auto"/>
          <w:highlight w:val="none"/>
        </w:rPr>
        <w:fldChar w:fldCharType="separate"/>
      </w:r>
      <w:r>
        <w:rPr>
          <w:rStyle w:val="750"/>
          <w:rFonts w:hint="eastAsia" w:asciiTheme="minorEastAsia" w:hAnsiTheme="minorEastAsia" w:eastAsiaTheme="minorEastAsia" w:cstheme="minorEastAsia"/>
          <w:b/>
          <w:color w:val="auto"/>
          <w:sz w:val="28"/>
          <w:szCs w:val="28"/>
          <w:highlight w:val="none"/>
        </w:rPr>
        <w:t xml:space="preserve">第五章 合同主要条款</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39</w:t>
      </w:r>
      <w:r/>
    </w:p>
    <w:p>
      <w:pPr>
        <w:pStyle w:val="746"/>
        <w:jc w:val="center"/>
        <w:shd w:val="clear" w:color="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"_Toc35951276" </w:instrText>
      </w:r>
      <w:r>
        <w:rPr>
          <w:rFonts w:hint="eastAsia" w:asciiTheme="minorEastAsia" w:hAnsiTheme="minorEastAsia" w:eastAsiaTheme="minorEastAsia" w:cstheme="minorEastAsia"/>
          <w:color w:val="auto"/>
          <w:highlight w:val="none"/>
        </w:rPr>
        <w:fldChar w:fldCharType="separate"/>
      </w:r>
      <w:r>
        <w:rPr>
          <w:rStyle w:val="750"/>
          <w:rFonts w:hint="eastAsia" w:asciiTheme="minorEastAsia" w:hAnsiTheme="minorEastAsia" w:eastAsiaTheme="minorEastAsia" w:cstheme="minorEastAsia"/>
          <w:b/>
          <w:color w:val="auto"/>
          <w:sz w:val="28"/>
          <w:szCs w:val="28"/>
          <w:highlight w:val="none"/>
        </w:rPr>
        <w:t xml:space="preserve">第六章 评标办法及评分标准</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41</w:t>
      </w:r>
      <w:r/>
    </w:p>
    <w:p>
      <w:pPr>
        <w:jc w:val="center"/>
        <w:spacing w:line="360" w:lineRule="auto"/>
        <w:shd w:val="clear" w:color="auto"/>
        <w:rPr>
          <w:rFonts w:hint="eastAsia" w:asciiTheme="minorEastAsia" w:hAnsiTheme="minorEastAsia" w:eastAsiaTheme="minorEastAsia" w:cstheme="minorEastAsia"/>
          <w:b/>
          <w:color w:val="auto"/>
          <w:sz w:val="32"/>
          <w:szCs w:val="32"/>
          <w:highlight w:val="none"/>
        </w:rPr>
        <w:outlineLvl w:val="0"/>
      </w:pPr>
      <w:r>
        <w:rPr>
          <w:rFonts w:hint="eastAsia" w:asciiTheme="minorEastAsia" w:hAnsiTheme="minorEastAsia" w:eastAsiaTheme="minorEastAsia" w:cstheme="minorEastAsia"/>
          <w:b/>
          <w:color w:val="auto"/>
          <w:szCs w:val="28"/>
          <w:highlight w:val="none"/>
        </w:rPr>
        <w:fldChar w:fldCharType="end"/>
      </w:r>
      <w:r>
        <w:rPr>
          <w:rFonts w:hint="eastAsia" w:asciiTheme="minorEastAsia" w:hAnsiTheme="minorEastAsia" w:eastAsiaTheme="minorEastAsia" w:cstheme="minorEastAsia"/>
          <w:color w:val="auto"/>
          <w:sz w:val="32"/>
          <w:szCs w:val="32"/>
          <w:highlight w:val="none"/>
        </w:rPr>
        <w:br w:type="page" w:clear="all"/>
      </w:r>
      <w:bookmarkEnd w:id="1"/>
      <w:r/>
      <w:bookmarkStart w:id="2" w:name="_Toc142194255"/>
      <w:r/>
      <w:bookmarkStart w:id="3" w:name="_Toc492294164"/>
      <w:r/>
      <w:bookmarkStart w:id="4" w:name="_Toc35951271"/>
      <w:r/>
      <w:bookmarkStart w:id="5" w:name="_Toc492394284"/>
      <w:r>
        <w:rPr>
          <w:rFonts w:hint="eastAsia" w:asciiTheme="minorEastAsia" w:hAnsiTheme="minorEastAsia" w:eastAsiaTheme="minorEastAsia" w:cstheme="minorEastAsia"/>
          <w:b/>
          <w:color w:val="auto"/>
          <w:sz w:val="32"/>
          <w:szCs w:val="32"/>
          <w:highlight w:val="none"/>
        </w:rPr>
        <w:t xml:space="preserve">第一章 招标公告</w:t>
      </w:r>
      <w:bookmarkEnd w:id="2"/>
      <w:r/>
      <w:bookmarkEnd w:id="3"/>
      <w:r/>
      <w:bookmarkEnd w:id="4"/>
      <w:r/>
      <w:bookmarkEnd w:id="5"/>
      <w:r/>
      <w:r/>
    </w:p>
    <w:p>
      <w:pPr>
        <w:ind w:firstLine="420"/>
        <w:spacing w:line="360" w:lineRule="auto"/>
        <w:shd w:val="clear" w:color="auto"/>
        <w:rPr>
          <w:rFonts w:hint="eastAsia" w:asciiTheme="minorEastAsia" w:hAnsiTheme="minorEastAsia" w:eastAsiaTheme="minorEastAsia" w:cstheme="minorEastAsia"/>
          <w:color w:val="auto"/>
          <w:sz w:val="21"/>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1"/>
          <w:highlight w:val="none"/>
        </w:rPr>
        <w:t xml:space="preserve">项目概况</w:t>
      </w:r>
      <w:r/>
    </w:p>
    <w:p>
      <w:pPr>
        <w:ind w:firstLine="420"/>
        <w:spacing w:line="360" w:lineRule="auto"/>
        <w:shd w:val="clear" w:color="auto"/>
        <w:rPr>
          <w:rFonts w:hint="eastAsia" w:asciiTheme="minorEastAsia" w:hAnsiTheme="minorEastAsia" w:eastAsiaTheme="minorEastAsia" w:cstheme="minorEastAsia"/>
          <w:color w:val="auto"/>
          <w:sz w:val="21"/>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1"/>
          <w:szCs w:val="21"/>
          <w:highlight w:val="none"/>
          <w:u w:val="single"/>
          <w:lang w:val="zh-CN"/>
        </w:rPr>
        <w:t xml:space="preserve">相城区澄阳片区交管技防设施提升项目</w:t>
      </w:r>
      <w:r>
        <w:rPr>
          <w:rFonts w:hint="eastAsia" w:asciiTheme="minorEastAsia" w:hAnsiTheme="minorEastAsia" w:eastAsiaTheme="minorEastAsia" w:cstheme="minorEastAsia"/>
          <w:color w:val="auto"/>
          <w:sz w:val="21"/>
          <w:highlight w:val="none"/>
        </w:rPr>
        <w:t xml:space="preserve">招标项目的潜在投标人应在</w:t>
      </w:r>
      <w:r>
        <w:rPr>
          <w:rFonts w:hint="eastAsia" w:asciiTheme="minorEastAsia" w:hAnsiTheme="minorEastAsia" w:eastAsiaTheme="minorEastAsia" w:cstheme="minorEastAsia"/>
          <w:color w:val="auto"/>
          <w:sz w:val="21"/>
          <w:szCs w:val="21"/>
          <w:highlight w:val="none"/>
          <w:u w:val="single"/>
        </w:rPr>
        <w:t xml:space="preserve">苏采云系统</w:t>
      </w:r>
      <w:r>
        <w:rPr>
          <w:rFonts w:hint="eastAsia" w:asciiTheme="minorEastAsia" w:hAnsiTheme="minorEastAsia" w:eastAsiaTheme="minorEastAsia" w:cstheme="minorEastAsia"/>
          <w:color w:val="auto"/>
          <w:sz w:val="21"/>
          <w:highlight w:val="none"/>
        </w:rPr>
        <w:t xml:space="preserve">获取招标文件，并于</w:t>
      </w:r>
      <w:r>
        <w:rPr>
          <w:rFonts w:hint="eastAsia" w:asciiTheme="minorEastAsia" w:hAnsiTheme="minorEastAsia" w:eastAsiaTheme="minorEastAsia" w:cstheme="minorEastAsia"/>
          <w:color w:val="auto"/>
          <w:sz w:val="21"/>
          <w:highlight w:val="none"/>
          <w:u w:val="single"/>
        </w:rPr>
        <w:t xml:space="preserve">2026</w:t>
      </w:r>
      <w:r>
        <w:rPr>
          <w:rFonts w:hint="eastAsia" w:asciiTheme="minorEastAsia" w:hAnsiTheme="minorEastAsia" w:eastAsiaTheme="minorEastAsia" w:cstheme="minorEastAsia"/>
          <w:color w:val="auto"/>
          <w:sz w:val="21"/>
          <w:highlight w:val="none"/>
          <w:u w:val="singl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01</w:t>
      </w:r>
      <w:r>
        <w:rPr>
          <w:rFonts w:hint="eastAsia" w:asciiTheme="minorEastAsia" w:hAnsiTheme="minorEastAsia" w:eastAsiaTheme="minorEastAsia" w:cstheme="minorEastAsia"/>
          <w:color w:val="auto"/>
          <w:sz w:val="21"/>
          <w:szCs w:val="21"/>
          <w:highlight w:val="none"/>
          <w:u w:val="singl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08</w:t>
      </w:r>
      <w:r>
        <w:rPr>
          <w:rFonts w:hint="eastAsia" w:asciiTheme="minorEastAsia" w:hAnsiTheme="minorEastAsia" w:eastAsiaTheme="minorEastAsia" w:cstheme="minorEastAsia"/>
          <w:color w:val="auto"/>
          <w:sz w:val="21"/>
          <w:szCs w:val="21"/>
          <w:highlight w:val="none"/>
          <w:u w:val="single"/>
        </w:rPr>
        <w:t xml:space="preserve">日</w:t>
      </w:r>
      <w:r>
        <w:rPr>
          <w:rFonts w:hint="eastAsia" w:asciiTheme="minorEastAsia" w:hAnsiTheme="minorEastAsia" w:eastAsiaTheme="minorEastAsia" w:cstheme="minorEastAsia"/>
          <w:color w:val="auto"/>
          <w:sz w:val="21"/>
          <w:highlight w:val="none"/>
          <w:u w:val="single"/>
          <w:lang w:val="en-US" w:eastAsia="zh-CN"/>
        </w:rPr>
        <w:t xml:space="preserve">13</w:t>
      </w:r>
      <w:r>
        <w:rPr>
          <w:rFonts w:hint="eastAsia" w:asciiTheme="minorEastAsia" w:hAnsiTheme="minorEastAsia" w:eastAsiaTheme="minorEastAsia" w:cstheme="minorEastAsia"/>
          <w:color w:val="auto"/>
          <w:sz w:val="21"/>
          <w:highlight w:val="none"/>
          <w:u w:val="single"/>
        </w:rPr>
        <w:t xml:space="preserve">点30分</w:t>
      </w:r>
      <w:r>
        <w:rPr>
          <w:rFonts w:hint="eastAsia" w:asciiTheme="minorEastAsia" w:hAnsiTheme="minorEastAsia" w:eastAsiaTheme="minorEastAsia" w:cstheme="minorEastAsia"/>
          <w:color w:val="auto"/>
          <w:sz w:val="21"/>
          <w:highlight w:val="none"/>
        </w:rPr>
        <w:t xml:space="preserve">（北京时间）前递交投标文件。</w:t>
      </w:r>
      <w:r/>
    </w:p>
    <w:p>
      <w:pPr>
        <w:ind w:firstLine="422"/>
        <w:spacing w:line="360" w:lineRule="auto"/>
        <w:shd w:val="clear" w:color="auto"/>
        <w:tabs>
          <w:tab w:val="left" w:pos="3600" w:leader="none"/>
        </w:tabs>
        <w:rPr>
          <w:rFonts w:hint="eastAsia" w:asciiTheme="minorEastAsia" w:hAnsiTheme="minorEastAsia" w:eastAsiaTheme="minorEastAsia" w:cstheme="minorEastAsia"/>
          <w:b/>
          <w:color w:val="auto"/>
          <w:sz w:val="21"/>
          <w:highlight w:val="none"/>
        </w:rPr>
      </w:pPr>
      <w:r>
        <w:rPr>
          <w:rFonts w:hint="eastAsia" w:asciiTheme="minorEastAsia" w:hAnsiTheme="minorEastAsia" w:eastAsiaTheme="minorEastAsia" w:cstheme="minorEastAsia"/>
          <w:b/>
          <w:color w:val="auto"/>
          <w:sz w:val="21"/>
          <w:highlight w:val="none"/>
        </w:rPr>
        <w:t xml:space="preserve">一、项目基本情况</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1</w:t>
      </w:r>
      <w:r>
        <w:rPr>
          <w:rFonts w:hint="eastAsia" w:asciiTheme="minorEastAsia" w:hAnsiTheme="minorEastAsia" w:eastAsiaTheme="minorEastAsia" w:cstheme="minorEastAsia"/>
          <w:color w:val="auto"/>
          <w:sz w:val="21"/>
          <w:highlight w:val="none"/>
          <w:lang w:val="en-US" w:eastAsia="zh-CN"/>
        </w:rPr>
        <w:t xml:space="preserve">.</w:t>
      </w:r>
      <w:r>
        <w:rPr>
          <w:rFonts w:hint="eastAsia" w:asciiTheme="minorEastAsia" w:hAnsiTheme="minorEastAsia" w:eastAsiaTheme="minorEastAsia" w:cstheme="minorEastAsia"/>
          <w:color w:val="auto"/>
          <w:sz w:val="21"/>
          <w:highlight w:val="none"/>
        </w:rPr>
        <w:t xml:space="preserve">项目编号：</w:t>
      </w:r>
      <w:r>
        <w:rPr>
          <w:rFonts w:hint="eastAsia" w:asciiTheme="minorEastAsia" w:hAnsiTheme="minorEastAsia" w:eastAsiaTheme="minorEastAsia" w:cstheme="minorEastAsia"/>
          <w:color w:val="auto"/>
          <w:sz w:val="21"/>
          <w:highlight w:val="none"/>
          <w:lang w:eastAsia="zh-CN"/>
        </w:rPr>
        <w:t xml:space="preserve">JSZC-320507-JSWZ-G2025-0025</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lang w:eastAsia="zh-CN"/>
        </w:rPr>
      </w:pPr>
      <w:r>
        <w:rPr>
          <w:rFonts w:hint="eastAsia" w:asciiTheme="minorEastAsia" w:hAnsiTheme="minorEastAsia" w:eastAsiaTheme="minorEastAsia" w:cstheme="minorEastAsia"/>
          <w:color w:val="auto"/>
          <w:sz w:val="21"/>
          <w:highlight w:val="none"/>
        </w:rPr>
        <w:t xml:space="preserve">2</w:t>
      </w:r>
      <w:r>
        <w:rPr>
          <w:rFonts w:hint="eastAsia" w:asciiTheme="minorEastAsia" w:hAnsiTheme="minorEastAsia" w:eastAsiaTheme="minorEastAsia" w:cstheme="minorEastAsia"/>
          <w:color w:val="auto"/>
          <w:sz w:val="21"/>
          <w:highlight w:val="none"/>
          <w:lang w:val="en-US" w:eastAsia="zh-CN"/>
        </w:rPr>
        <w:t xml:space="preserve">.</w:t>
      </w:r>
      <w:r>
        <w:rPr>
          <w:rFonts w:hint="eastAsia" w:asciiTheme="minorEastAsia" w:hAnsiTheme="minorEastAsia" w:eastAsiaTheme="minorEastAsia" w:cstheme="minorEastAsia"/>
          <w:color w:val="auto"/>
          <w:sz w:val="21"/>
          <w:highlight w:val="none"/>
        </w:rPr>
        <w:t xml:space="preserve">项目名称：</w:t>
      </w:r>
      <w:r>
        <w:rPr>
          <w:rFonts w:hint="eastAsia" w:asciiTheme="minorEastAsia" w:hAnsiTheme="minorEastAsia" w:eastAsiaTheme="minorEastAsia" w:cstheme="minorEastAsia"/>
          <w:color w:val="auto"/>
          <w:sz w:val="21"/>
          <w:highlight w:val="none"/>
          <w:lang w:eastAsia="zh-CN"/>
        </w:rPr>
        <w:t xml:space="preserve">相城区澄阳片区交管技防设施提升项目</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3</w:t>
      </w:r>
      <w:r>
        <w:rPr>
          <w:rFonts w:hint="eastAsia" w:asciiTheme="minorEastAsia" w:hAnsiTheme="minorEastAsia" w:eastAsiaTheme="minorEastAsia" w:cstheme="minorEastAsia"/>
          <w:color w:val="auto"/>
          <w:sz w:val="21"/>
          <w:highlight w:val="none"/>
          <w:lang w:val="en-US" w:eastAsia="zh-CN"/>
        </w:rPr>
        <w:t xml:space="preserve">.</w:t>
      </w:r>
      <w:r>
        <w:rPr>
          <w:rFonts w:hint="eastAsia" w:asciiTheme="minorEastAsia" w:hAnsiTheme="minorEastAsia" w:eastAsiaTheme="minorEastAsia" w:cstheme="minorEastAsia"/>
          <w:color w:val="auto"/>
          <w:sz w:val="21"/>
          <w:highlight w:val="none"/>
        </w:rPr>
        <w:t xml:space="preserve">采购预算：人民币</w:t>
      </w:r>
      <w:r>
        <w:rPr>
          <w:rFonts w:hint="eastAsia" w:asciiTheme="minorEastAsia" w:hAnsiTheme="minorEastAsia" w:eastAsiaTheme="minorEastAsia" w:cstheme="minorEastAsia"/>
          <w:color w:val="auto"/>
          <w:sz w:val="21"/>
          <w:highlight w:val="none"/>
          <w:lang w:val="en-US" w:eastAsia="zh-CN"/>
        </w:rPr>
        <w:t xml:space="preserve">肆佰柒拾陆万捌仟陆佰伍拾柒元玖角贰分</w:t>
      </w:r>
      <w:r>
        <w:rPr>
          <w:rFonts w:hint="eastAsia" w:asciiTheme="minorEastAsia" w:hAnsiTheme="minorEastAsia" w:eastAsiaTheme="minorEastAsia" w:cstheme="minorEastAsia"/>
          <w:color w:val="auto"/>
          <w:sz w:val="21"/>
          <w:highlight w:val="none"/>
        </w:rPr>
        <w:t xml:space="preserve">（小写：4768657.92元）</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lang w:val="en-US" w:eastAsia="zh-CN"/>
        </w:rPr>
        <w:t xml:space="preserve">4.</w:t>
      </w:r>
      <w:r>
        <w:rPr>
          <w:rFonts w:hint="eastAsia" w:asciiTheme="minorEastAsia" w:hAnsiTheme="minorEastAsia" w:eastAsiaTheme="minorEastAsia" w:cstheme="minorEastAsia"/>
          <w:color w:val="auto"/>
          <w:sz w:val="21"/>
          <w:highlight w:val="none"/>
        </w:rPr>
        <w:t xml:space="preserve">采购需求：详见招标文件第四章</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lang w:val="en-US" w:eastAsia="zh-CN"/>
        </w:rPr>
        <w:t xml:space="preserve">5.</w:t>
      </w:r>
      <w:r>
        <w:rPr>
          <w:rFonts w:hint="eastAsia" w:asciiTheme="minorEastAsia" w:hAnsiTheme="minorEastAsia" w:eastAsiaTheme="minorEastAsia" w:cstheme="minorEastAsia"/>
          <w:color w:val="auto"/>
          <w:sz w:val="21"/>
          <w:highlight w:val="none"/>
        </w:rPr>
        <w:t xml:space="preserve">交货地点：采购单位指定地点</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lang w:val="en-US" w:eastAsia="zh-CN"/>
        </w:rPr>
        <w:t xml:space="preserve">6.</w:t>
      </w:r>
      <w:r>
        <w:rPr>
          <w:rFonts w:hint="eastAsia" w:asciiTheme="minorEastAsia" w:hAnsiTheme="minorEastAsia" w:eastAsiaTheme="minorEastAsia" w:cstheme="minorEastAsia"/>
          <w:color w:val="auto"/>
          <w:sz w:val="21"/>
          <w:highlight w:val="none"/>
        </w:rPr>
        <w:t xml:space="preserve">交货时间：</w:t>
      </w:r>
      <w:r>
        <w:rPr>
          <w:rFonts w:hint="eastAsia" w:asciiTheme="minorEastAsia" w:hAnsiTheme="minorEastAsia" w:eastAsiaTheme="minorEastAsia" w:cstheme="minorEastAsia"/>
          <w:color w:val="auto"/>
          <w:sz w:val="21"/>
          <w:highlight w:val="none"/>
          <w:lang w:eastAsia="zh-CN"/>
        </w:rPr>
        <w:t xml:space="preserve">合同签订生效后90天内交付并完成安装调试</w:t>
      </w:r>
      <w:r>
        <w:rPr>
          <w:rFonts w:hint="eastAsia" w:asciiTheme="minorEastAsia" w:hAnsiTheme="minorEastAsia" w:eastAsiaTheme="minorEastAsia" w:cstheme="minorEastAsia"/>
          <w:color w:val="auto"/>
          <w:sz w:val="21"/>
          <w:highlight w:val="none"/>
        </w:rPr>
        <w:t xml:space="preserve">。</w:t>
      </w:r>
      <w:r/>
    </w:p>
    <w:p>
      <w:pPr>
        <w:ind w:firstLine="422"/>
        <w:spacing w:line="360" w:lineRule="auto"/>
        <w:shd w:val="clear" w:color="auto"/>
        <w:tabs>
          <w:tab w:val="left" w:pos="3600" w:leader="none"/>
        </w:tabs>
        <w:rPr>
          <w:rFonts w:hint="eastAsia" w:asciiTheme="minorEastAsia" w:hAnsiTheme="minorEastAsia" w:eastAsiaTheme="minorEastAsia" w:cstheme="minorEastAsia"/>
          <w:b/>
          <w:bCs/>
          <w:color w:val="auto"/>
          <w:sz w:val="21"/>
          <w:szCs w:val="22"/>
          <w:highlight w:val="none"/>
        </w:rPr>
      </w:pPr>
      <w:r>
        <w:rPr>
          <w:rFonts w:hint="eastAsia" w:asciiTheme="minorEastAsia" w:hAnsiTheme="minorEastAsia" w:eastAsiaTheme="minorEastAsia" w:cstheme="minorEastAsia"/>
          <w:b/>
          <w:bCs/>
          <w:color w:val="auto"/>
          <w:sz w:val="21"/>
          <w:szCs w:val="22"/>
          <w:highlight w:val="none"/>
        </w:rPr>
        <w:t xml:space="preserve">二、申请人的资格要求：</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1</w:t>
      </w:r>
      <w:r>
        <w:rPr>
          <w:rFonts w:hint="eastAsia" w:asciiTheme="minorEastAsia" w:hAnsiTheme="minorEastAsia" w:eastAsiaTheme="minorEastAsia" w:cstheme="minorEastAsia"/>
          <w:b w:val="0"/>
          <w:bCs w:val="0"/>
          <w:color w:val="auto"/>
          <w:sz w:val="21"/>
          <w:szCs w:val="22"/>
          <w:highlight w:val="none"/>
          <w:lang w:val="en-US" w:eastAsia="zh-CN"/>
        </w:rPr>
        <w:t xml:space="preserve">.</w:t>
      </w:r>
      <w:r>
        <w:rPr>
          <w:rFonts w:hint="eastAsia" w:asciiTheme="minorEastAsia" w:hAnsiTheme="minorEastAsia" w:eastAsiaTheme="minorEastAsia" w:cstheme="minorEastAsia"/>
          <w:b w:val="0"/>
          <w:bCs w:val="0"/>
          <w:color w:val="auto"/>
          <w:sz w:val="21"/>
          <w:szCs w:val="22"/>
          <w:highlight w:val="none"/>
        </w:rPr>
        <w:t xml:space="preserve">满足《中华人民共和国政府采购法》第二十二条规定，投标人应当县备下列条件:</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（1）具有独立承担民事责任的能力；</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（2）具有良好的商业信誉和健全的财务会计制度；</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（3）具有履行合同所必需的设备和专业技术能力；</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（4）有依法缴纳税收和社会保障资金的良好记录；</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（5）参加政府采购活动前三年内，在经营活动中没有重大违法记录；</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（6）法律、行政法规规定的其他条件。</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2</w:t>
      </w:r>
      <w:r>
        <w:rPr>
          <w:rFonts w:hint="eastAsia" w:asciiTheme="minorEastAsia" w:hAnsiTheme="minorEastAsia" w:eastAsiaTheme="minorEastAsia" w:cstheme="minorEastAsia"/>
          <w:b w:val="0"/>
          <w:bCs w:val="0"/>
          <w:color w:val="auto"/>
          <w:sz w:val="21"/>
          <w:szCs w:val="22"/>
          <w:highlight w:val="none"/>
          <w:lang w:val="en-US" w:eastAsia="zh-CN"/>
        </w:rPr>
        <w:t xml:space="preserve">.</w:t>
      </w:r>
      <w:r>
        <w:rPr>
          <w:rFonts w:hint="eastAsia" w:asciiTheme="minorEastAsia" w:hAnsiTheme="minorEastAsia" w:eastAsiaTheme="minorEastAsia" w:cstheme="minorEastAsia"/>
          <w:b w:val="0"/>
          <w:bCs w:val="0"/>
          <w:color w:val="auto"/>
          <w:sz w:val="21"/>
          <w:szCs w:val="22"/>
          <w:highlight w:val="none"/>
        </w:rPr>
        <w:t xml:space="preserve">落实政府采购政策需满足的资格要求:本项目非专门面向中小企业，所属行业为工业。</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3</w:t>
      </w:r>
      <w:r>
        <w:rPr>
          <w:rFonts w:hint="eastAsia" w:asciiTheme="minorEastAsia" w:hAnsiTheme="minorEastAsia" w:eastAsiaTheme="minorEastAsia" w:cstheme="minorEastAsia"/>
          <w:b w:val="0"/>
          <w:bCs w:val="0"/>
          <w:color w:val="auto"/>
          <w:sz w:val="21"/>
          <w:szCs w:val="22"/>
          <w:highlight w:val="none"/>
          <w:lang w:val="en-US" w:eastAsia="zh-CN"/>
        </w:rPr>
        <w:t xml:space="preserve">.</w:t>
      </w:r>
      <w:r>
        <w:rPr>
          <w:rFonts w:hint="eastAsia" w:asciiTheme="minorEastAsia" w:hAnsiTheme="minorEastAsia" w:eastAsiaTheme="minorEastAsia" w:cstheme="minorEastAsia"/>
          <w:b w:val="0"/>
          <w:bCs w:val="0"/>
          <w:color w:val="auto"/>
          <w:sz w:val="21"/>
          <w:szCs w:val="22"/>
          <w:highlight w:val="none"/>
        </w:rPr>
        <w:t xml:space="preserve">本项目的特定资格要求:无</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4</w:t>
      </w:r>
      <w:r>
        <w:rPr>
          <w:rFonts w:hint="eastAsia" w:asciiTheme="minorEastAsia" w:hAnsiTheme="minorEastAsia" w:eastAsiaTheme="minorEastAsia" w:cstheme="minorEastAsia"/>
          <w:b w:val="0"/>
          <w:bCs w:val="0"/>
          <w:color w:val="auto"/>
          <w:sz w:val="21"/>
          <w:szCs w:val="22"/>
          <w:highlight w:val="none"/>
          <w:lang w:val="en-US" w:eastAsia="zh-CN"/>
        </w:rPr>
        <w:t xml:space="preserve">.</w:t>
      </w:r>
      <w:r>
        <w:rPr>
          <w:rFonts w:hint="eastAsia" w:asciiTheme="minorEastAsia" w:hAnsiTheme="minorEastAsia" w:eastAsiaTheme="minorEastAsia" w:cstheme="minorEastAsia"/>
          <w:b w:val="0"/>
          <w:bCs w:val="0"/>
          <w:color w:val="auto"/>
          <w:sz w:val="21"/>
          <w:szCs w:val="22"/>
          <w:highlight w:val="none"/>
        </w:rPr>
        <w:t xml:space="preserve">其他资格要求:</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（1）未被“信用中国”网站(www.creditchina.gov.sn)或“中国政府采购网”网站(www.ccgp.gov.cn)列入失信被执行人、重大税收违法案件当事人名单、政府采购严重失信行为记录名单；</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lang w:eastAsia="zh-CN"/>
        </w:rPr>
      </w:pPr>
      <w:r>
        <w:rPr>
          <w:rFonts w:hint="eastAsia" w:asciiTheme="minorEastAsia" w:hAnsiTheme="minorEastAsia" w:eastAsiaTheme="minorEastAsia" w:cstheme="minorEastAsia"/>
          <w:b w:val="0"/>
          <w:bCs w:val="0"/>
          <w:color w:val="auto"/>
          <w:sz w:val="21"/>
          <w:szCs w:val="22"/>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Theme="minorEastAsia" w:hAnsiTheme="minorEastAsia" w:eastAsiaTheme="minorEastAsia" w:cstheme="minorEastAsia"/>
          <w:b w:val="0"/>
          <w:bCs w:val="0"/>
          <w:color w:val="auto"/>
          <w:sz w:val="21"/>
          <w:szCs w:val="22"/>
          <w:highlight w:val="none"/>
          <w:lang w:eastAsia="zh-CN"/>
        </w:rPr>
        <w:t xml:space="preserve">；</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lang w:eastAsia="zh-CN"/>
        </w:rPr>
      </w:pPr>
      <w:r>
        <w:rPr>
          <w:rFonts w:hint="eastAsia" w:asciiTheme="minorEastAsia" w:hAnsiTheme="minorEastAsia" w:eastAsiaTheme="minorEastAsia" w:cstheme="minorEastAsia"/>
          <w:b w:val="0"/>
          <w:bCs w:val="0"/>
          <w:color w:val="auto"/>
          <w:sz w:val="21"/>
          <w:szCs w:val="22"/>
          <w:highlight w:val="none"/>
        </w:rPr>
        <w:t xml:space="preserve">（3）法人的分支机构不得参加投标(除银行、保险、石油石化、电力、电信等行业特殊情况外)</w:t>
      </w:r>
      <w:r>
        <w:rPr>
          <w:rFonts w:hint="eastAsia" w:asciiTheme="minorEastAsia" w:hAnsiTheme="minorEastAsia" w:eastAsiaTheme="minorEastAsia" w:cstheme="minorEastAsia"/>
          <w:b w:val="0"/>
          <w:bCs w:val="0"/>
          <w:color w:val="auto"/>
          <w:sz w:val="21"/>
          <w:szCs w:val="22"/>
          <w:highlight w:val="none"/>
          <w:lang w:eastAsia="zh-CN"/>
        </w:rPr>
        <w:t xml:space="preserve">；</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（4）本项目不接受联合体投标，不得转包、分包本项目。</w:t>
      </w:r>
      <w:r/>
    </w:p>
    <w:p>
      <w:pPr>
        <w:ind w:firstLine="422"/>
        <w:spacing w:line="360" w:lineRule="auto"/>
        <w:shd w:val="clear" w:color="auto"/>
        <w:tabs>
          <w:tab w:val="left" w:pos="3600" w:leader="none"/>
        </w:tabs>
        <w:rPr>
          <w:rFonts w:hint="eastAsia" w:asciiTheme="minorEastAsia" w:hAnsiTheme="minorEastAsia" w:eastAsiaTheme="minorEastAsia" w:cstheme="minorEastAsia"/>
          <w:b/>
          <w:bCs/>
          <w:color w:val="auto"/>
          <w:sz w:val="21"/>
          <w:szCs w:val="22"/>
          <w:highlight w:val="none"/>
        </w:rPr>
      </w:pPr>
      <w:r>
        <w:rPr>
          <w:rFonts w:hint="eastAsia" w:asciiTheme="minorEastAsia" w:hAnsiTheme="minorEastAsia" w:eastAsiaTheme="minorEastAsia" w:cstheme="minorEastAsia"/>
          <w:b/>
          <w:bCs/>
          <w:color w:val="auto"/>
          <w:sz w:val="21"/>
          <w:szCs w:val="22"/>
          <w:highlight w:val="none"/>
        </w:rPr>
        <w:t xml:space="preserve">三、报名及招标文件的获取</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1.报名截止时间：自公告发布之日起5个工作日。</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2.地点：“苏采云”系统自行下载招标文件。</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3.方式：</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（1）CA证书办理</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 65737699。</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（2）参与采购活动</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（3）电子投标准备</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在系统操作过程中如有疑问，请按以下方式联系：</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注册咨询：18261002950；</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CA技术咨询电话：400-608-6099；</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签章使用问题：025-83633811、025-83633812、15380932027、15371015030；</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系统使用指导与咨询：联系电话：18261002950；QQ：3048755361、1315179389、895706745。</w:t>
      </w:r>
      <w:r/>
    </w:p>
    <w:p>
      <w:pPr>
        <w:ind w:firstLine="422"/>
        <w:spacing w:line="360" w:lineRule="auto"/>
        <w:shd w:val="clear" w:color="auto"/>
        <w:tabs>
          <w:tab w:val="left" w:pos="3600" w:leader="none"/>
        </w:tabs>
        <w:rPr>
          <w:rFonts w:hint="eastAsia" w:asciiTheme="minorEastAsia" w:hAnsiTheme="minorEastAsia" w:eastAsiaTheme="minorEastAsia" w:cstheme="minorEastAsia"/>
          <w:b/>
          <w:bCs/>
          <w:color w:val="auto"/>
          <w:sz w:val="21"/>
          <w:szCs w:val="22"/>
          <w:highlight w:val="none"/>
        </w:rPr>
      </w:pPr>
      <w:r>
        <w:rPr>
          <w:rFonts w:hint="eastAsia" w:asciiTheme="minorEastAsia" w:hAnsiTheme="minorEastAsia" w:eastAsiaTheme="minorEastAsia" w:cstheme="minorEastAsia"/>
          <w:b/>
          <w:bCs/>
          <w:color w:val="auto"/>
          <w:sz w:val="21"/>
          <w:szCs w:val="22"/>
          <w:highlight w:val="none"/>
        </w:rPr>
        <w:t xml:space="preserve">四、提交投标文件截止时间、开标时间和地点</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1.提交投标文件截止时间：2026年</w:t>
      </w:r>
      <w:r>
        <w:rPr>
          <w:rFonts w:hint="eastAsia" w:asciiTheme="minorEastAsia" w:hAnsiTheme="minorEastAsia" w:eastAsiaTheme="minorEastAsia" w:cstheme="minorEastAsia"/>
          <w:b w:val="0"/>
          <w:bCs w:val="0"/>
          <w:color w:val="auto"/>
          <w:sz w:val="21"/>
          <w:szCs w:val="22"/>
          <w:highlight w:val="none"/>
          <w:lang w:val="en-US" w:eastAsia="zh-CN"/>
        </w:rPr>
        <w:t xml:space="preserve">01</w:t>
      </w:r>
      <w:r>
        <w:rPr>
          <w:rFonts w:hint="eastAsia" w:asciiTheme="minorEastAsia" w:hAnsiTheme="minorEastAsia" w:eastAsiaTheme="minorEastAsia" w:cstheme="minorEastAsia"/>
          <w:b w:val="0"/>
          <w:bCs w:val="0"/>
          <w:color w:val="auto"/>
          <w:sz w:val="21"/>
          <w:szCs w:val="22"/>
          <w:highlight w:val="none"/>
        </w:rPr>
        <w:t xml:space="preserve">月</w:t>
      </w:r>
      <w:r>
        <w:rPr>
          <w:rFonts w:hint="eastAsia" w:asciiTheme="minorEastAsia" w:hAnsiTheme="minorEastAsia" w:eastAsiaTheme="minorEastAsia" w:cstheme="minorEastAsia"/>
          <w:b w:val="0"/>
          <w:bCs w:val="0"/>
          <w:color w:val="auto"/>
          <w:sz w:val="21"/>
          <w:szCs w:val="22"/>
          <w:highlight w:val="none"/>
          <w:lang w:val="en-US" w:eastAsia="zh-CN"/>
        </w:rPr>
        <w:t xml:space="preserve">08</w:t>
      </w:r>
      <w:r>
        <w:rPr>
          <w:rFonts w:hint="eastAsia" w:asciiTheme="minorEastAsia" w:hAnsiTheme="minorEastAsia" w:eastAsiaTheme="minorEastAsia" w:cstheme="minorEastAsia"/>
          <w:b w:val="0"/>
          <w:bCs w:val="0"/>
          <w:color w:val="auto"/>
          <w:sz w:val="21"/>
          <w:szCs w:val="22"/>
          <w:highlight w:val="none"/>
        </w:rPr>
        <w:t xml:space="preserve">日</w:t>
      </w:r>
      <w:r>
        <w:rPr>
          <w:rFonts w:hint="eastAsia" w:asciiTheme="minorEastAsia" w:hAnsiTheme="minorEastAsia" w:eastAsiaTheme="minorEastAsia" w:cstheme="minorEastAsia"/>
          <w:b w:val="0"/>
          <w:bCs w:val="0"/>
          <w:color w:val="auto"/>
          <w:sz w:val="21"/>
          <w:szCs w:val="22"/>
          <w:highlight w:val="none"/>
          <w:lang w:val="en-US" w:eastAsia="zh-CN"/>
        </w:rPr>
        <w:t xml:space="preserve">13</w:t>
      </w:r>
      <w:r>
        <w:rPr>
          <w:rFonts w:hint="eastAsia" w:asciiTheme="minorEastAsia" w:hAnsiTheme="minorEastAsia" w:eastAsiaTheme="minorEastAsia" w:cstheme="minorEastAsia"/>
          <w:b w:val="0"/>
          <w:bCs w:val="0"/>
          <w:color w:val="auto"/>
          <w:sz w:val="21"/>
          <w:szCs w:val="22"/>
          <w:highlight w:val="none"/>
        </w:rPr>
        <w:t xml:space="preserve">点</w:t>
      </w:r>
      <w:r>
        <w:rPr>
          <w:rFonts w:hint="eastAsia" w:asciiTheme="minorEastAsia" w:hAnsiTheme="minorEastAsia" w:eastAsiaTheme="minorEastAsia" w:cstheme="minorEastAsia"/>
          <w:b w:val="0"/>
          <w:bCs w:val="0"/>
          <w:color w:val="auto"/>
          <w:sz w:val="21"/>
          <w:szCs w:val="22"/>
          <w:highlight w:val="none"/>
          <w:lang w:val="en-US" w:eastAsia="zh-CN"/>
        </w:rPr>
        <w:t xml:space="preserve">30</w:t>
      </w:r>
      <w:r>
        <w:rPr>
          <w:rFonts w:hint="eastAsia" w:asciiTheme="minorEastAsia" w:hAnsiTheme="minorEastAsia" w:eastAsiaTheme="minorEastAsia" w:cstheme="minorEastAsia"/>
          <w:b w:val="0"/>
          <w:bCs w:val="0"/>
          <w:color w:val="auto"/>
          <w:sz w:val="21"/>
          <w:szCs w:val="22"/>
          <w:highlight w:val="none"/>
        </w:rPr>
        <w:t xml:space="preserve">分（北京时间）；</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2.开标时间：2026年</w:t>
      </w:r>
      <w:r>
        <w:rPr>
          <w:rFonts w:hint="eastAsia" w:asciiTheme="minorEastAsia" w:hAnsiTheme="minorEastAsia" w:eastAsiaTheme="minorEastAsia" w:cstheme="minorEastAsia"/>
          <w:b w:val="0"/>
          <w:bCs w:val="0"/>
          <w:color w:val="auto"/>
          <w:sz w:val="21"/>
          <w:szCs w:val="22"/>
          <w:highlight w:val="none"/>
          <w:lang w:val="en-US" w:eastAsia="zh-CN"/>
        </w:rPr>
        <w:t xml:space="preserve">01月08日13点30分</w:t>
      </w:r>
      <w:r>
        <w:rPr>
          <w:rFonts w:hint="eastAsia" w:asciiTheme="minorEastAsia" w:hAnsiTheme="minorEastAsia" w:eastAsiaTheme="minorEastAsia" w:cstheme="minorEastAsia"/>
          <w:b w:val="0"/>
          <w:bCs w:val="0"/>
          <w:color w:val="auto"/>
          <w:sz w:val="21"/>
          <w:szCs w:val="22"/>
          <w:highlight w:val="none"/>
        </w:rPr>
        <w:t xml:space="preserve">（北京时间）；</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3.开标地点：“苏采云”系统（网址：http://jszfcg.jsczt.cn/）</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请供应商确保电脑、系统及其他设备（视频输入输出设备等）无误，且开标直至项目结束始终保持系统在线状态。</w:t>
      </w:r>
      <w:r/>
    </w:p>
    <w:p>
      <w:pPr>
        <w:ind w:firstLine="422"/>
        <w:spacing w:line="360" w:lineRule="auto"/>
        <w:shd w:val="clear" w:color="auto"/>
        <w:tabs>
          <w:tab w:val="left" w:pos="3600" w:leader="none"/>
        </w:tabs>
        <w:rPr>
          <w:rFonts w:hint="eastAsia" w:asciiTheme="minorEastAsia" w:hAnsiTheme="minorEastAsia" w:eastAsiaTheme="minorEastAsia" w:cstheme="minorEastAsia"/>
          <w:b/>
          <w:bCs/>
          <w:color w:val="auto"/>
          <w:sz w:val="21"/>
          <w:szCs w:val="22"/>
          <w:highlight w:val="none"/>
        </w:rPr>
      </w:pPr>
      <w:r>
        <w:rPr>
          <w:rFonts w:hint="eastAsia" w:asciiTheme="minorEastAsia" w:hAnsiTheme="minorEastAsia" w:eastAsiaTheme="minorEastAsia" w:cstheme="minorEastAsia"/>
          <w:b/>
          <w:bCs/>
          <w:color w:val="auto"/>
          <w:sz w:val="21"/>
          <w:szCs w:val="22"/>
          <w:highlight w:val="none"/>
        </w:rPr>
        <w:t xml:space="preserve">五、公告期限</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自本公告发布之日起5个工作日。</w:t>
      </w:r>
      <w:r/>
    </w:p>
    <w:p>
      <w:pPr>
        <w:ind w:firstLine="422"/>
        <w:spacing w:line="360" w:lineRule="auto"/>
        <w:shd w:val="clear" w:color="auto"/>
        <w:tabs>
          <w:tab w:val="left" w:pos="3600" w:leader="none"/>
        </w:tabs>
        <w:rPr>
          <w:rFonts w:hint="eastAsia" w:asciiTheme="minorEastAsia" w:hAnsiTheme="minorEastAsia" w:eastAsiaTheme="minorEastAsia" w:cstheme="minorEastAsia"/>
          <w:b/>
          <w:bCs/>
          <w:color w:val="auto"/>
          <w:sz w:val="21"/>
          <w:szCs w:val="22"/>
          <w:highlight w:val="none"/>
        </w:rPr>
      </w:pPr>
      <w:r>
        <w:rPr>
          <w:rFonts w:hint="eastAsia" w:asciiTheme="minorEastAsia" w:hAnsiTheme="minorEastAsia" w:eastAsiaTheme="minorEastAsia" w:cstheme="minorEastAsia"/>
          <w:b/>
          <w:bCs/>
          <w:color w:val="auto"/>
          <w:sz w:val="21"/>
          <w:szCs w:val="22"/>
          <w:highlight w:val="none"/>
        </w:rPr>
        <w:t xml:space="preserve">六、其他补充事宜</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1</w:t>
      </w:r>
      <w:r>
        <w:rPr>
          <w:rFonts w:hint="eastAsia" w:asciiTheme="minorEastAsia" w:hAnsiTheme="minorEastAsia" w:eastAsiaTheme="minorEastAsia" w:cstheme="minorEastAsia"/>
          <w:b w:val="0"/>
          <w:bCs w:val="0"/>
          <w:color w:val="auto"/>
          <w:sz w:val="21"/>
          <w:szCs w:val="22"/>
          <w:highlight w:val="none"/>
          <w:lang w:val="en-US" w:eastAsia="zh-CN"/>
        </w:rPr>
        <w:t xml:space="preserve">.</w:t>
      </w:r>
      <w:r>
        <w:rPr>
          <w:rFonts w:hint="eastAsia" w:asciiTheme="minorEastAsia" w:hAnsiTheme="minorEastAsia" w:eastAsiaTheme="minorEastAsia" w:cstheme="minorEastAsia"/>
          <w:b w:val="0"/>
          <w:bCs w:val="0"/>
          <w:color w:val="auto"/>
          <w:sz w:val="21"/>
          <w:szCs w:val="22"/>
          <w:highlight w:val="none"/>
        </w:rPr>
        <w:t xml:space="preserve">凡为采购项目提供整体设计、规范编制或者项目管理、监理、检测等服务的供应商，不得再参加本项目的采购活动；</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2</w:t>
      </w:r>
      <w:r>
        <w:rPr>
          <w:rFonts w:hint="eastAsia" w:asciiTheme="minorEastAsia" w:hAnsiTheme="minorEastAsia" w:eastAsiaTheme="minorEastAsia" w:cstheme="minorEastAsia"/>
          <w:b w:val="0"/>
          <w:bCs w:val="0"/>
          <w:color w:val="auto"/>
          <w:sz w:val="21"/>
          <w:szCs w:val="22"/>
          <w:highlight w:val="none"/>
          <w:lang w:val="en-US" w:eastAsia="zh-CN"/>
        </w:rPr>
        <w:t xml:space="preserve">.</w:t>
      </w:r>
      <w:r>
        <w:rPr>
          <w:rFonts w:hint="eastAsia" w:asciiTheme="minorEastAsia" w:hAnsiTheme="minorEastAsia" w:eastAsiaTheme="minorEastAsia" w:cstheme="minorEastAsia"/>
          <w:b w:val="0"/>
          <w:bCs w:val="0"/>
          <w:color w:val="auto"/>
          <w:sz w:val="21"/>
          <w:szCs w:val="22"/>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3</w:t>
      </w:r>
      <w:r>
        <w:rPr>
          <w:rFonts w:hint="eastAsia" w:asciiTheme="minorEastAsia" w:hAnsiTheme="minorEastAsia" w:eastAsiaTheme="minorEastAsia" w:cstheme="minorEastAsia"/>
          <w:b w:val="0"/>
          <w:bCs w:val="0"/>
          <w:color w:val="auto"/>
          <w:sz w:val="21"/>
          <w:szCs w:val="22"/>
          <w:highlight w:val="none"/>
          <w:lang w:val="en-US" w:eastAsia="zh-CN"/>
        </w:rPr>
        <w:t xml:space="preserve">.</w:t>
      </w:r>
      <w:r>
        <w:rPr>
          <w:rFonts w:hint="eastAsia" w:asciiTheme="minorEastAsia" w:hAnsiTheme="minorEastAsia" w:eastAsiaTheme="minorEastAsia" w:cstheme="minorEastAsia"/>
          <w:b w:val="0"/>
          <w:bCs w:val="0"/>
          <w:color w:val="auto"/>
          <w:sz w:val="21"/>
          <w:szCs w:val="22"/>
          <w:highlight w:val="none"/>
        </w:rPr>
        <w:t xml:space="preserve">本项目获取招标文件截止日期之后仍可以下载招标文件，但截止日期之后下载的招标文件，视为非有效方式且不作为供应商权益受到损害的证明材料和依据。</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val="0"/>
          <w:bCs w:val="0"/>
          <w:color w:val="auto"/>
          <w:sz w:val="21"/>
          <w:szCs w:val="22"/>
          <w:highlight w:val="none"/>
        </w:rPr>
        <w:t xml:space="preserve">    4.</w:t>
      </w:r>
      <w:r>
        <w:rPr>
          <w:rFonts w:hint="eastAsia" w:asciiTheme="minorEastAsia" w:hAnsiTheme="minorEastAsia" w:eastAsiaTheme="minorEastAsia" w:cstheme="minorEastAsia"/>
          <w:b w:val="0"/>
          <w:bCs w:val="0"/>
          <w:color w:val="auto"/>
          <w:sz w:val="21"/>
          <w:szCs w:val="22"/>
          <w:highlight w:val="none"/>
        </w:rPr>
      </w:r>
      <w:r>
        <w:rPr>
          <w:rFonts w:ascii="SimSun" w:hAnsi="SimSun" w:eastAsia="SimSun" w:cs="SimSun"/>
          <w:color w:val="000000"/>
          <w:sz w:val="21"/>
        </w:rPr>
        <w:t xml:space="preserve">本次采购的有关信息将在苏州市政府采购网、江苏政府采购网、中国政府采购网上发布；有关该采购项目的澄清、修正及中标等信息亦在以上网站发布，敬请留意。</w:t>
      </w:r>
      <w:r/>
      <w:r>
        <w:rPr>
          <w:rFonts w:hint="eastAsia" w:asciiTheme="minorEastAsia" w:hAnsiTheme="minorEastAsia" w:eastAsiaTheme="minorEastAsia" w:cstheme="minorEastAsia"/>
          <w:b w:val="0"/>
          <w:bCs w:val="0"/>
          <w:color w:val="auto"/>
          <w:sz w:val="21"/>
          <w:szCs w:val="22"/>
          <w:highlight w:val="none"/>
        </w:rPr>
      </w:r>
      <w:r/>
      <w:r/>
      <w:r>
        <w:rPr>
          <w:sz w:val="28"/>
        </w:rP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5、苏州相城区政府采购办公室监督电话：0512-67591006/67591005。</w:t>
      </w:r>
      <w:r/>
    </w:p>
    <w:p>
      <w:pPr>
        <w:ind w:firstLine="422"/>
        <w:spacing w:line="360" w:lineRule="auto"/>
        <w:shd w:val="clear" w:color="auto"/>
        <w:tabs>
          <w:tab w:val="left" w:pos="3600" w:leader="none"/>
        </w:tabs>
        <w:rPr>
          <w:rFonts w:hint="eastAsia" w:asciiTheme="minorEastAsia" w:hAnsiTheme="minorEastAsia" w:eastAsiaTheme="minorEastAsia" w:cstheme="minorEastAsia"/>
          <w:b/>
          <w:bCs/>
          <w:color w:val="auto"/>
          <w:sz w:val="21"/>
          <w:szCs w:val="22"/>
          <w:highlight w:val="none"/>
        </w:rPr>
      </w:pPr>
      <w:r>
        <w:rPr>
          <w:rFonts w:hint="eastAsia" w:asciiTheme="minorEastAsia" w:hAnsiTheme="minorEastAsia" w:eastAsiaTheme="minorEastAsia" w:cstheme="minorEastAsia"/>
          <w:b/>
          <w:bCs/>
          <w:color w:val="auto"/>
          <w:sz w:val="21"/>
          <w:szCs w:val="22"/>
          <w:highlight w:val="none"/>
        </w:rPr>
        <w:t xml:space="preserve">七、凡对本次招标提出询问，请按以下方式联系。</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1.采购人信息</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名称：苏州相城经济技术开发区管理委员会  </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联系地址：苏州市相城区蠡塘河路900号</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联系人：顾樱烨</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2.代理机构信息</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bookmarkStart w:id="6" w:name="_Toc142194256"/>
      <w:r/>
      <w:bookmarkStart w:id="7" w:name="_Toc13642113"/>
      <w:r>
        <w:rPr>
          <w:rFonts w:hint="eastAsia" w:asciiTheme="minorEastAsia" w:hAnsiTheme="minorEastAsia" w:eastAsiaTheme="minorEastAsia" w:cstheme="minorEastAsia"/>
          <w:b w:val="0"/>
          <w:bCs w:val="0"/>
          <w:color w:val="auto"/>
          <w:sz w:val="21"/>
          <w:szCs w:val="22"/>
          <w:highlight w:val="none"/>
        </w:rPr>
        <w:t xml:space="preserve">名  称：江苏沃咨咨询管理有限公司</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地  址：苏州市相城区澄阳路188号数字金融产业园B座22层2203室</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联 系 人：张佳、吴海东</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联系电话：0512-65168321</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3.项目联系人</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联 系 人：张佳、吴海东</w:t>
      </w:r>
      <w:r/>
    </w:p>
    <w:p>
      <w:pPr>
        <w:ind w:firstLine="420"/>
        <w:spacing w:line="360" w:lineRule="auto"/>
        <w:shd w:val="clear" w:color="auto"/>
        <w:tabs>
          <w:tab w:val="left" w:pos="3600" w:leader="none"/>
        </w:tabs>
        <w:rPr>
          <w:rFonts w:hint="eastAsia" w:asciiTheme="minorEastAsia" w:hAnsiTheme="minorEastAsia" w:eastAsiaTheme="minorEastAsia" w:cstheme="minorEastAsia"/>
          <w:b w:val="0"/>
          <w:bCs w:val="0"/>
          <w:color w:val="auto"/>
          <w:sz w:val="21"/>
          <w:szCs w:val="22"/>
          <w:highlight w:val="none"/>
        </w:rPr>
      </w:pPr>
      <w:r>
        <w:rPr>
          <w:rFonts w:hint="eastAsia" w:asciiTheme="minorEastAsia" w:hAnsiTheme="minorEastAsia" w:eastAsiaTheme="minorEastAsia" w:cstheme="minorEastAsia"/>
          <w:b w:val="0"/>
          <w:bCs w:val="0"/>
          <w:color w:val="auto"/>
          <w:sz w:val="21"/>
          <w:szCs w:val="22"/>
          <w:highlight w:val="none"/>
        </w:rPr>
        <w:t xml:space="preserve">联系电话：0512-65168321</w:t>
      </w:r>
      <w:bookmarkEnd w:id="6"/>
      <w:r/>
      <w:bookmarkEnd w:id="7"/>
      <w:r/>
      <w:bookmarkStart w:id="8" w:name="_Toc492394285"/>
      <w:r/>
      <w:bookmarkStart w:id="9" w:name="_Toc35951272"/>
      <w:r/>
      <w:r/>
    </w:p>
    <w:p>
      <w:pP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jc w:val="center"/>
        <w:spacing w:line="360" w:lineRule="auto"/>
        <w:shd w:val="clear" w:color="auto"/>
        <w:rPr>
          <w:rFonts w:hint="eastAsia" w:asciiTheme="minorEastAsia" w:hAnsiTheme="minorEastAsia" w:eastAsiaTheme="minorEastAsia" w:cstheme="minorEastAsia"/>
          <w:b/>
          <w:color w:val="auto"/>
          <w:sz w:val="32"/>
          <w:szCs w:val="32"/>
          <w:highlight w:val="none"/>
        </w:rPr>
        <w:outlineLvl w:val="0"/>
      </w:pPr>
      <w:r>
        <w:rPr>
          <w:rFonts w:hint="eastAsia" w:asciiTheme="minorEastAsia" w:hAnsiTheme="minorEastAsia" w:eastAsiaTheme="minorEastAsia" w:cstheme="minorEastAsia"/>
          <w:b/>
          <w:color w:val="auto"/>
          <w:sz w:val="32"/>
          <w:szCs w:val="32"/>
          <w:highlight w:val="none"/>
        </w:rPr>
        <w:t xml:space="preserve">第二章 投标人须知</w:t>
      </w:r>
      <w:bookmarkEnd w:id="8"/>
      <w:r/>
      <w:bookmarkEnd w:id="9"/>
      <w:r/>
      <w:r/>
    </w:p>
    <w:p>
      <w:pPr>
        <w:numPr>
          <w:ilvl w:val="0"/>
          <w:numId w:val="1"/>
        </w:numPr>
        <w:spacing w:line="400" w:lineRule="exact"/>
        <w:shd w:val="clear" w:color="auto"/>
        <w:rPr>
          <w:rFonts w:hint="eastAsia" w:asciiTheme="minorEastAsia" w:hAnsiTheme="minorEastAsia" w:eastAsiaTheme="minorEastAsia" w:cstheme="minorEastAsia"/>
          <w:b/>
          <w:color w:val="auto"/>
          <w:sz w:val="21"/>
          <w:szCs w:val="21"/>
          <w:highlight w:val="none"/>
        </w:rPr>
      </w:pPr>
      <w:r/>
      <w:bookmarkStart w:id="10" w:name="_Toc13642114"/>
      <w:r/>
      <w:bookmarkStart w:id="11" w:name="_Toc142194265"/>
      <w:r>
        <w:rPr>
          <w:rFonts w:hint="eastAsia" w:asciiTheme="minorEastAsia" w:hAnsiTheme="minorEastAsia" w:eastAsiaTheme="minorEastAsia" w:cstheme="minorEastAsia"/>
          <w:b/>
          <w:color w:val="auto"/>
          <w:sz w:val="21"/>
          <w:szCs w:val="21"/>
          <w:highlight w:val="none"/>
        </w:rPr>
        <w:t xml:space="preserve">说明和释义</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说明</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1.1本招标文件仅适用于</w:t>
      </w:r>
      <w:r>
        <w:rPr>
          <w:rFonts w:hint="eastAsia" w:asciiTheme="minorEastAsia" w:hAnsiTheme="minorEastAsia" w:eastAsiaTheme="minorEastAsia" w:cstheme="minorEastAsia"/>
          <w:color w:val="auto"/>
          <w:sz w:val="21"/>
          <w:szCs w:val="21"/>
          <w:highlight w:val="none"/>
          <w:lang w:eastAsia="zh-CN"/>
        </w:rPr>
        <w:t xml:space="preserve">江苏沃咨咨询管理有限公司</w:t>
      </w:r>
      <w:r>
        <w:rPr>
          <w:rFonts w:hint="eastAsia" w:asciiTheme="minorEastAsia" w:hAnsiTheme="minorEastAsia" w:eastAsiaTheme="minorEastAsia" w:cstheme="minorEastAsia"/>
          <w:color w:val="auto"/>
          <w:sz w:val="21"/>
          <w:szCs w:val="21"/>
          <w:highlight w:val="none"/>
        </w:rPr>
        <w:t xml:space="preserve">组织的招标活动。</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1.2本次招标活动及因本次招标产生的合同受中国法律制约和保护。</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1.3本招标文件的解释权属于</w:t>
      </w:r>
      <w:r>
        <w:rPr>
          <w:rFonts w:hint="eastAsia" w:asciiTheme="minorEastAsia" w:hAnsiTheme="minorEastAsia" w:eastAsiaTheme="minorEastAsia" w:cstheme="minorEastAsia"/>
          <w:color w:val="auto"/>
          <w:sz w:val="21"/>
          <w:szCs w:val="21"/>
          <w:highlight w:val="none"/>
          <w:lang w:eastAsia="zh-CN"/>
        </w:rPr>
        <w:t xml:space="preserve">江苏沃咨咨询管理有限公司</w:t>
      </w:r>
      <w:r>
        <w:rPr>
          <w:rFonts w:hint="eastAsia" w:asciiTheme="minorEastAsia" w:hAnsiTheme="minorEastAsia" w:eastAsiaTheme="minorEastAsia" w:cstheme="minorEastAsia"/>
          <w:color w:val="auto"/>
          <w:sz w:val="21"/>
          <w:szCs w:val="21"/>
          <w:highlight w:val="none"/>
        </w:rPr>
        <w:t xml:space="preserve">。</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词语释义</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2.1.采购人：指依法进行政府采购的国家机关、事业单位、团体组织。</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2.2.供应商：指向采购人提供货物、工程或服务的法人、其他组织或者自然人。</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2.3.投标人：指参加政府采购货物服务投标活动的供应商。</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2.4.采购代理机构：指依法接受采购人委托，从事货物、工程和服务等政府采购招标代理业务的社会中介机构。</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2.5.招标代理机构：采购人及采购代理机构的统称。</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2.7.响应：投标人根据采购人或采购代理机构发售的招标文件，编制投标文件并按规定投标的行为。</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2.8.知识产权：指专利权、商标权、著作权等无形财产专有权的统称。</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2.9.天：日历日。</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2.10.服务地点：合同中明确约定的乙方履行服务的最终地点。</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2.11.不可抗力：不能预见、不能避免并且不能克服的客观情况。</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2.12.实质性响应：满足有关本次采购标的、数量、质量、价款或者报酬、履行期限、履行地点和方式、违约责任和解决争议方法等要求。</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2.13.书面形式：指书面文字、合同书、信件和传真等可以有形地表现所载内容的形式。</w:t>
      </w:r>
      <w:r/>
    </w:p>
    <w:p>
      <w:pPr>
        <w:numPr>
          <w:ilvl w:val="0"/>
          <w:numId w:val="1"/>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合格投标人的基本条件</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符合《中华人民共和国政府采购法》第二十二条之规定。</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合格投标人的特定条件</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详见投标人资格要求。</w:t>
      </w:r>
      <w:r/>
    </w:p>
    <w:p>
      <w:pPr>
        <w:numPr>
          <w:ilvl w:val="0"/>
          <w:numId w:val="2"/>
        </w:numPr>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投标人必须从</w:t>
      </w:r>
      <w:r>
        <w:rPr>
          <w:rFonts w:hint="eastAsia" w:asciiTheme="minorEastAsia" w:hAnsiTheme="minorEastAsia" w:eastAsiaTheme="minorEastAsia" w:cstheme="minorEastAsia"/>
          <w:b/>
          <w:color w:val="auto"/>
          <w:sz w:val="21"/>
          <w:szCs w:val="21"/>
          <w:highlight w:val="none"/>
        </w:rPr>
        <w:t xml:space="preserve">“苏采云”系统（网址：http://jszfcg.jsczt.cn/）系统进行报名，否则不能参加本次招标活动。</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投标人代表</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指全权代表投标人参加投标活动并签署投标文件的人，如果投标人代表不是法人代表，须持有《法定代表人授权委托书》（详见统一格式）。</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联合投标</w:t>
      </w:r>
      <w:r/>
    </w:p>
    <w:p>
      <w:pPr>
        <w:ind w:firstLine="420"/>
        <w:spacing w:line="400" w:lineRule="exact"/>
        <w:shd w:val="clear" w:color="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本项目</w:t>
      </w:r>
      <w:r>
        <w:rPr>
          <w:rFonts w:hint="eastAsia" w:asciiTheme="minorEastAsia" w:hAnsiTheme="minorEastAsia" w:eastAsiaTheme="minorEastAsia" w:cstheme="minorEastAsia"/>
          <w:b w:val="0"/>
          <w:bCs w:val="0"/>
          <w:color w:val="auto"/>
          <w:sz w:val="21"/>
          <w:szCs w:val="21"/>
          <w:highlight w:val="none"/>
          <w:lang w:val="en-US" w:eastAsia="zh-CN"/>
        </w:rPr>
        <w:t xml:space="preserve">不</w:t>
      </w:r>
      <w:r>
        <w:rPr>
          <w:rFonts w:hint="eastAsia" w:asciiTheme="minorEastAsia" w:hAnsiTheme="minorEastAsia" w:eastAsiaTheme="minorEastAsia" w:cstheme="minorEastAsia"/>
          <w:b w:val="0"/>
          <w:bCs w:val="0"/>
          <w:color w:val="auto"/>
          <w:sz w:val="21"/>
          <w:szCs w:val="21"/>
          <w:highlight w:val="none"/>
        </w:rPr>
        <w:t xml:space="preserve">接受联合体投标。</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投标费用</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投标人应自行承担所有准备及参加投标的相关费用。不论投标结果如何，采购人和采购代理机构在任何情况下均无义务也无责任承担这些费用。</w:t>
      </w:r>
      <w:r/>
    </w:p>
    <w:p>
      <w:pPr>
        <w:numPr>
          <w:ilvl w:val="0"/>
          <w:numId w:val="1"/>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招标文件说明</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招标文件</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9.1.招标文件由招标文件目录所列内容组成，投标人获取招标文件后，应仔细检查招标文件的所有内容，如有残缺等问题应在获取招标文件规定时间内向招标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9.2.招标文件及其更正文件不是直接从指定媒介获得的，招标代理机构对招标文件及其补遗的真实性、完整性不承担任何责任。</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现场勘察</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10.1.招标人将不组织投标人进行集中勘察现场，投标人可自行对有关现场和周围环境进行勘察，以获取编制投标文件和签署合同所需的信息。勘察现场所发生的费用由投标人自己承担。</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10.2.招标代理机构向投标人提供的有关现场的资料和数据，是招标代理机构现有的并认为能使投标人可利用的资料。招标代理机构对投标人由此而做出的推论、理解和结论概不负责。</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10.3.经招标代理机构允许，投标人可为勘察目的进入招标代理机构的项目现场，但投标人不得因此使招标代理机构承担有关的责任和蒙受损失。投标人应承担勘察现场的责任和风险。</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招标文件的澄清和修改</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11.1.投标人在获取招标文件后，若有问题需要询问和澄清，应按前规定提出，澄清和提疑须以书面形式向采购代理机构提出，采购代理机构将以书面形式的方式予以解答（包括对询问的解释，但不说明来源），答复将送给所有招标文件的收受人。</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11.2.迟于前附表规定的询问和提交的疑问，采购人和采购代理机构有权拒绝回答，也不承担由此带来的对投标人投标结果的影响。</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11.3.在投标截止时间15日前，招标代理机构无论出于自己的考虑，还是出于对投标人提问的澄清，均可对已发出的招标文件进行必要澄清或者修改。</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11.4.为使投标人有足够的时间按招标文件的修改要求考虑修正投标文件，或出于其他原因，招标代理机构有权推迟投标截止日期和开标日期，将此变更通知所有招标文件的收受人。</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11.5.招标文件的更正（含澄清、修改等）内容与原招标文件在同一内容上表述不一致时，以发出日期最接近开标时间的公告为准。</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11.6.招标文件的更正（含澄清、修改等）内容将在财政部门指定的政府采购信息发布媒体上发布，作为招标文件的组成部分，对投标人起约束作用。</w:t>
      </w:r>
      <w:r/>
    </w:p>
    <w:p>
      <w:pPr>
        <w:numPr>
          <w:ilvl w:val="0"/>
          <w:numId w:val="1"/>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投标文件说明</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投标文件计量单位和使用文字</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12.1.投标文件中所使用的计量单位，除招标文件中有特殊要求外，均应使用中华人民共和国法定计量单位。</w:t>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代理机构概不负责。</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bookmarkStart w:id="12" w:name="_Toc217446047"/>
      <w:r>
        <w:rPr>
          <w:rFonts w:hint="eastAsia" w:asciiTheme="minorEastAsia" w:hAnsiTheme="minorEastAsia" w:eastAsiaTheme="minorEastAsia" w:cstheme="minorEastAsia"/>
          <w:b/>
          <w:color w:val="auto"/>
          <w:sz w:val="21"/>
          <w:szCs w:val="21"/>
          <w:highlight w:val="none"/>
        </w:rPr>
        <w:t xml:space="preserve">知识产权</w:t>
      </w:r>
      <w:bookmarkEnd w:id="12"/>
      <w:r/>
      <w:r/>
    </w:p>
    <w:p>
      <w:pPr>
        <w:ind w:firstLine="420"/>
        <w:spacing w:line="400" w:lineRule="exact"/>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2"/>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投标文件的组成和顺序</w:t>
      </w:r>
      <w:r/>
    </w:p>
    <w:p>
      <w:pPr>
        <w:ind w:firstLine="482"/>
        <w:spacing w:line="360" w:lineRule="auto"/>
        <w:shd w:val="clear" w:color="auto"/>
        <w:rPr>
          <w:rFonts w:ascii="宋体" w:hAnsi="宋体" w:eastAsia="宋体"/>
          <w:b w:val="0"/>
          <w:bCs/>
          <w:sz w:val="21"/>
          <w:szCs w:val="21"/>
          <w:highlight w:val="none"/>
        </w:rPr>
      </w:pPr>
      <w:r>
        <w:rPr>
          <w:rFonts w:hint="eastAsia" w:ascii="宋体" w:hAnsi="宋体" w:eastAsia="宋体"/>
          <w:b w:val="0"/>
          <w:bCs/>
          <w:sz w:val="21"/>
          <w:szCs w:val="21"/>
          <w:highlight w:val="none"/>
        </w:rPr>
        <w:t xml:space="preserve">1</w:t>
      </w:r>
      <w:r>
        <w:rPr>
          <w:rFonts w:hint="eastAsia" w:ascii="宋体" w:hAnsi="宋体" w:eastAsia="宋体"/>
          <w:b w:val="0"/>
          <w:bCs/>
          <w:sz w:val="21"/>
          <w:szCs w:val="21"/>
          <w:highlight w:val="none"/>
          <w:lang w:val="en-US" w:eastAsia="zh-CN"/>
        </w:rPr>
        <w:t xml:space="preserve">4</w:t>
      </w:r>
      <w:r>
        <w:rPr>
          <w:rFonts w:ascii="宋体" w:hAnsi="宋体" w:eastAsia="宋体"/>
          <w:b w:val="0"/>
          <w:bCs/>
          <w:sz w:val="21"/>
          <w:szCs w:val="21"/>
          <w:highlight w:val="none"/>
        </w:rPr>
        <w:t xml:space="preserve">.1</w:t>
      </w:r>
      <w:r>
        <w:rPr>
          <w:rFonts w:hint="eastAsia" w:ascii="宋体" w:hAnsi="宋体" w:eastAsia="宋体"/>
          <w:b w:val="0"/>
          <w:bCs/>
          <w:sz w:val="21"/>
          <w:szCs w:val="21"/>
          <w:highlight w:val="none"/>
        </w:rPr>
        <w:t xml:space="preserve">封面</w:t>
      </w:r>
      <w:r/>
    </w:p>
    <w:p>
      <w:pPr>
        <w:ind w:firstLine="482"/>
        <w:spacing w:line="360" w:lineRule="auto"/>
        <w:shd w:val="clear" w:color="auto"/>
        <w:rPr>
          <w:rFonts w:ascii="宋体" w:hAnsi="宋体" w:eastAsia="宋体"/>
          <w:bCs/>
          <w:sz w:val="21"/>
          <w:szCs w:val="21"/>
          <w:highlight w:val="none"/>
        </w:rPr>
      </w:pPr>
      <w:r>
        <w:rPr>
          <w:rFonts w:hint="eastAsia" w:ascii="宋体" w:hAnsi="宋体" w:eastAsia="宋体"/>
          <w:b w:val="0"/>
          <w:bCs/>
          <w:sz w:val="21"/>
          <w:szCs w:val="21"/>
          <w:highlight w:val="none"/>
        </w:rPr>
        <w:t xml:space="preserve">1</w:t>
      </w:r>
      <w:r>
        <w:rPr>
          <w:rFonts w:hint="eastAsia" w:ascii="宋体" w:hAnsi="宋体" w:eastAsia="宋体"/>
          <w:b w:val="0"/>
          <w:bCs/>
          <w:sz w:val="21"/>
          <w:szCs w:val="21"/>
          <w:highlight w:val="none"/>
          <w:lang w:val="en-US" w:eastAsia="zh-CN"/>
        </w:rPr>
        <w:t xml:space="preserve">4</w:t>
      </w:r>
      <w:r>
        <w:rPr>
          <w:rFonts w:ascii="宋体" w:hAnsi="宋体" w:eastAsia="宋体"/>
          <w:b w:val="0"/>
          <w:bCs/>
          <w:sz w:val="21"/>
          <w:szCs w:val="21"/>
          <w:highlight w:val="none"/>
        </w:rPr>
        <w:t xml:space="preserve">.</w:t>
      </w:r>
      <w:r>
        <w:rPr>
          <w:rFonts w:hint="eastAsia" w:ascii="宋体" w:hAnsi="宋体" w:eastAsia="宋体"/>
          <w:b w:val="0"/>
          <w:bCs/>
          <w:sz w:val="21"/>
          <w:szCs w:val="21"/>
          <w:highlight w:val="none"/>
        </w:rPr>
        <w:t xml:space="preserve">2开标一览表</w:t>
      </w:r>
      <w:r/>
    </w:p>
    <w:p>
      <w:pPr>
        <w:ind w:firstLine="482"/>
        <w:spacing w:line="360" w:lineRule="auto"/>
        <w:shd w:val="clear" w:color="auto"/>
        <w:rPr>
          <w:rFonts w:ascii="宋体" w:hAnsi="宋体" w:eastAsia="宋体"/>
          <w:b w:val="0"/>
          <w:bCs/>
          <w:sz w:val="21"/>
          <w:szCs w:val="21"/>
          <w:highlight w:val="none"/>
        </w:rPr>
      </w:pPr>
      <w:r>
        <w:rPr>
          <w:rFonts w:hint="eastAsia" w:ascii="宋体" w:hAnsi="宋体" w:eastAsia="宋体"/>
          <w:b w:val="0"/>
          <w:bCs/>
          <w:sz w:val="21"/>
          <w:szCs w:val="21"/>
          <w:highlight w:val="none"/>
        </w:rPr>
        <w:t xml:space="preserve">1</w:t>
      </w:r>
      <w:r>
        <w:rPr>
          <w:rFonts w:hint="eastAsia" w:ascii="宋体" w:hAnsi="宋体" w:eastAsia="宋体"/>
          <w:b w:val="0"/>
          <w:bCs/>
          <w:sz w:val="21"/>
          <w:szCs w:val="21"/>
          <w:highlight w:val="none"/>
          <w:lang w:val="en-US" w:eastAsia="zh-CN"/>
        </w:rPr>
        <w:t xml:space="preserve">4</w:t>
      </w:r>
      <w:r>
        <w:rPr>
          <w:rFonts w:ascii="宋体" w:hAnsi="宋体" w:eastAsia="宋体"/>
          <w:b w:val="0"/>
          <w:bCs/>
          <w:sz w:val="21"/>
          <w:szCs w:val="21"/>
          <w:highlight w:val="none"/>
        </w:rPr>
        <w:t xml:space="preserve">.3</w:t>
      </w:r>
      <w:r>
        <w:rPr>
          <w:rFonts w:hint="eastAsia" w:ascii="宋体" w:hAnsi="宋体" w:eastAsia="宋体"/>
          <w:b w:val="0"/>
          <w:bCs/>
          <w:sz w:val="21"/>
          <w:szCs w:val="21"/>
          <w:highlight w:val="none"/>
        </w:rPr>
        <w:t xml:space="preserve">投标报价明细表</w:t>
      </w:r>
      <w:r>
        <w:rPr>
          <w:rFonts w:hint="eastAsia" w:ascii="宋体" w:hAnsi="宋体" w:eastAsia="宋体"/>
          <w:bCs/>
          <w:sz w:val="21"/>
          <w:szCs w:val="21"/>
          <w:highlight w:val="none"/>
        </w:rPr>
        <w:t xml:space="preserve">（格式见第三章）</w:t>
      </w:r>
      <w:r/>
    </w:p>
    <w:p>
      <w:pPr>
        <w:ind w:firstLine="482"/>
        <w:spacing w:line="360" w:lineRule="auto"/>
        <w:shd w:val="clear" w:color="auto"/>
        <w:rPr>
          <w:rFonts w:hint="eastAsia" w:ascii="宋体" w:hAnsi="宋体" w:eastAsia="宋体"/>
          <w:b w:val="0"/>
          <w:bCs/>
          <w:sz w:val="21"/>
          <w:szCs w:val="21"/>
          <w:highlight w:val="none"/>
        </w:rPr>
      </w:pPr>
      <w:r>
        <w:rPr>
          <w:rFonts w:hint="eastAsia" w:ascii="宋体" w:hAnsi="宋体" w:eastAsia="宋体"/>
          <w:b w:val="0"/>
          <w:bCs/>
          <w:sz w:val="21"/>
          <w:szCs w:val="21"/>
          <w:highlight w:val="none"/>
        </w:rPr>
        <w:t xml:space="preserve">1</w:t>
      </w:r>
      <w:r>
        <w:rPr>
          <w:rFonts w:hint="eastAsia" w:ascii="宋体" w:hAnsi="宋体" w:eastAsia="宋体"/>
          <w:b w:val="0"/>
          <w:bCs/>
          <w:sz w:val="21"/>
          <w:szCs w:val="21"/>
          <w:highlight w:val="none"/>
          <w:lang w:val="en-US" w:eastAsia="zh-CN"/>
        </w:rPr>
        <w:t xml:space="preserve">4</w:t>
      </w:r>
      <w:r>
        <w:rPr>
          <w:rFonts w:ascii="宋体" w:hAnsi="宋体" w:eastAsia="宋体"/>
          <w:b w:val="0"/>
          <w:bCs/>
          <w:sz w:val="21"/>
          <w:szCs w:val="21"/>
          <w:highlight w:val="none"/>
        </w:rPr>
        <w:t xml:space="preserve">.4</w:t>
      </w:r>
      <w:r>
        <w:rPr>
          <w:rFonts w:hint="eastAsia" w:ascii="宋体" w:hAnsi="宋体" w:eastAsia="宋体"/>
          <w:b w:val="0"/>
          <w:bCs/>
          <w:sz w:val="21"/>
          <w:szCs w:val="21"/>
          <w:highlight w:val="none"/>
        </w:rPr>
        <w:t xml:space="preserve">资格审查文件</w:t>
      </w:r>
      <w:r>
        <w:rPr>
          <w:rFonts w:hint="eastAsia" w:ascii="宋体" w:hAnsi="宋体" w:eastAsia="宋体"/>
          <w:b w:val="0"/>
          <w:bCs/>
          <w:sz w:val="21"/>
          <w:szCs w:val="21"/>
          <w:highlight w:val="none"/>
          <w:lang w:eastAsia="zh-CN"/>
        </w:rPr>
        <w:t xml:space="preserve">：</w:t>
      </w:r>
      <w:r/>
    </w:p>
    <w:p>
      <w:pPr>
        <w:pStyle w:val="738"/>
        <w:ind w:firstLine="480"/>
        <w:spacing w:line="360" w:lineRule="auto"/>
        <w:shd w:val="clear" w:color="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rPr>
        <w:t xml:space="preserve">.4</w:t>
      </w:r>
      <w:r>
        <w:rPr>
          <w:rFonts w:hint="eastAsia" w:ascii="宋体" w:hAnsi="宋体" w:eastAsia="宋体"/>
          <w:sz w:val="21"/>
          <w:szCs w:val="21"/>
          <w:highlight w:val="none"/>
        </w:rPr>
        <w:t xml:space="preserve">.1关于资格文件的声明函（格式见第三章）；</w:t>
      </w:r>
      <w:r/>
    </w:p>
    <w:p>
      <w:pPr>
        <w:pStyle w:val="738"/>
        <w:ind w:firstLine="480"/>
        <w:spacing w:line="360" w:lineRule="auto"/>
        <w:shd w:val="clear" w:color="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rPr>
        <w:t xml:space="preserve">.4</w:t>
      </w:r>
      <w:r>
        <w:rPr>
          <w:rFonts w:hint="eastAsia" w:ascii="宋体" w:hAnsi="宋体" w:eastAsia="宋体"/>
          <w:sz w:val="21"/>
          <w:szCs w:val="21"/>
          <w:highlight w:val="none"/>
        </w:rPr>
        <w:t xml:space="preserve">.2投标人基本情况表（格式见第三章）；</w:t>
      </w:r>
      <w:r/>
    </w:p>
    <w:p>
      <w:pPr>
        <w:pStyle w:val="738"/>
        <w:ind w:firstLine="480"/>
        <w:spacing w:line="360" w:lineRule="auto"/>
        <w:shd w:val="clear" w:color="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rPr>
        <w:t xml:space="preserve">.4</w:t>
      </w:r>
      <w:r>
        <w:rPr>
          <w:rFonts w:hint="eastAsia" w:ascii="宋体" w:hAnsi="宋体" w:eastAsia="宋体"/>
          <w:sz w:val="21"/>
          <w:szCs w:val="21"/>
          <w:highlight w:val="none"/>
        </w:rPr>
        <w:t xml:space="preserve">.3投标人法定代表人身份证复印件；</w:t>
      </w:r>
      <w:r/>
    </w:p>
    <w:p>
      <w:pPr>
        <w:pStyle w:val="738"/>
        <w:ind w:firstLine="480"/>
        <w:spacing w:line="360" w:lineRule="auto"/>
        <w:shd w:val="clear" w:color="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rPr>
        <w:t xml:space="preserve">.4</w:t>
      </w:r>
      <w:r>
        <w:rPr>
          <w:rFonts w:hint="eastAsia" w:ascii="宋体" w:hAnsi="宋体" w:eastAsia="宋体"/>
          <w:sz w:val="21"/>
          <w:szCs w:val="21"/>
          <w:highlight w:val="none"/>
        </w:rPr>
        <w:t xml:space="preserve">.4法定代表人授权委托书（如有授权，格式见第三章）；</w:t>
      </w:r>
      <w:r/>
    </w:p>
    <w:p>
      <w:pPr>
        <w:pStyle w:val="738"/>
        <w:ind w:firstLine="480"/>
        <w:spacing w:line="360" w:lineRule="auto"/>
        <w:shd w:val="clear" w:color="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rPr>
        <w:t xml:space="preserve">.4</w:t>
      </w:r>
      <w:r>
        <w:rPr>
          <w:rFonts w:hint="eastAsia" w:ascii="宋体" w:hAnsi="宋体" w:eastAsia="宋体"/>
          <w:sz w:val="21"/>
          <w:szCs w:val="21"/>
          <w:highlight w:val="none"/>
        </w:rPr>
        <w:t xml:space="preserve">.5投标人授权代理人身份证复印件（如有授权）；</w:t>
      </w:r>
      <w:r/>
    </w:p>
    <w:p>
      <w:pPr>
        <w:pStyle w:val="738"/>
        <w:ind w:firstLine="480"/>
        <w:spacing w:line="360" w:lineRule="auto"/>
        <w:shd w:val="clear" w:color="auto"/>
        <w:tabs>
          <w:tab w:val="left" w:pos="0" w:leader="none"/>
        </w:tabs>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rPr>
        <w:t xml:space="preserve">.4</w:t>
      </w:r>
      <w:r>
        <w:rPr>
          <w:rFonts w:hint="eastAsia" w:ascii="宋体" w:hAnsi="宋体" w:eastAsia="宋体"/>
          <w:sz w:val="21"/>
          <w:szCs w:val="21"/>
          <w:highlight w:val="none"/>
        </w:rPr>
        <w:t xml:space="preserve">.6合格投标人资格证明材料：</w:t>
      </w:r>
      <w:r/>
    </w:p>
    <w:p>
      <w:pPr>
        <w:pStyle w:val="748"/>
        <w:ind w:firstLine="480"/>
        <w:spacing w:before="0" w:beforeAutospacing="0" w:after="0" w:afterAutospacing="0"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（1）具有独立承担民事责任的能力证明。</w:t>
      </w:r>
      <w:bookmarkStart w:id="13" w:name="OLE_LINK1"/>
      <w:r>
        <w:rPr>
          <w:rFonts w:hint="eastAsia" w:ascii="宋体" w:hAnsi="宋体" w:eastAsia="宋体" w:cs="宋体"/>
          <w:sz w:val="21"/>
          <w:szCs w:val="21"/>
          <w:highlight w:val="none"/>
        </w:rPr>
        <w:t xml:space="preserve">包括法人或者其他组织的营业执照等证明文件，自然人的身份证明</w:t>
      </w:r>
      <w:bookmarkEnd w:id="13"/>
      <w:r>
        <w:rPr>
          <w:rFonts w:hint="eastAsia" w:ascii="宋体" w:hAnsi="宋体" w:eastAsia="宋体" w:cs="宋体"/>
          <w:sz w:val="21"/>
          <w:szCs w:val="21"/>
          <w:highlight w:val="none"/>
        </w:rPr>
        <w:t xml:space="preserve">；</w:t>
      </w:r>
      <w:r/>
    </w:p>
    <w:p>
      <w:pPr>
        <w:pStyle w:val="748"/>
        <w:ind w:firstLine="480"/>
        <w:spacing w:before="0" w:beforeAutospacing="0" w:after="0" w:afterAutospacing="0"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（2）具有良好的商业信誉和健全的财务会计制度证明</w:t>
      </w:r>
      <w:r>
        <w:rPr>
          <w:rFonts w:hint="eastAsia" w:ascii="宋体" w:hAnsi="宋体" w:eastAsia="宋体" w:cs="宋体"/>
          <w:b w:val="0"/>
          <w:bCs/>
          <w:sz w:val="21"/>
          <w:szCs w:val="21"/>
          <w:highlight w:val="none"/>
        </w:rPr>
        <w:t xml:space="preserve">（提供最近一期</w:t>
      </w:r>
      <w:r>
        <w:rPr>
          <w:rFonts w:hint="eastAsia" w:ascii="宋体" w:hAnsi="宋体" w:eastAsia="宋体" w:cs="宋体"/>
          <w:b w:val="0"/>
          <w:bCs/>
          <w:sz w:val="21"/>
          <w:szCs w:val="21"/>
          <w:highlight w:val="none"/>
          <w:lang w:val="en-US" w:eastAsia="zh-CN"/>
        </w:rPr>
        <w:t xml:space="preserve">的</w:t>
      </w:r>
      <w:r>
        <w:rPr>
          <w:rFonts w:hint="eastAsia" w:ascii="宋体" w:hAnsi="宋体" w:eastAsia="宋体" w:cs="宋体"/>
          <w:b w:val="0"/>
          <w:bCs/>
          <w:sz w:val="21"/>
          <w:szCs w:val="21"/>
          <w:highlight w:val="none"/>
        </w:rPr>
        <w:t xml:space="preserve">财务报告，其他组织、自然人及成立未满一年的法人应提供银行出具的资信证明）</w:t>
      </w:r>
      <w:r>
        <w:rPr>
          <w:rFonts w:hint="eastAsia" w:ascii="宋体" w:hAnsi="宋体" w:eastAsia="宋体" w:cs="宋体"/>
          <w:b/>
          <w:sz w:val="21"/>
          <w:szCs w:val="21"/>
          <w:highlight w:val="none"/>
        </w:rPr>
        <w:t xml:space="preserve">；</w:t>
      </w:r>
      <w:r/>
    </w:p>
    <w:p>
      <w:pPr>
        <w:pStyle w:val="748"/>
        <w:ind w:firstLine="480"/>
        <w:spacing w:before="0" w:beforeAutospacing="0" w:after="0" w:afterAutospacing="0"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（3）具备履行合同所必需的设备和专业技术能力的证明材料或承诺；</w:t>
      </w:r>
      <w:r/>
    </w:p>
    <w:p>
      <w:pPr>
        <w:pStyle w:val="738"/>
        <w:ind w:firstLine="480"/>
        <w:spacing w:line="360" w:lineRule="auto"/>
        <w:shd w:val="clear" w:color="auto"/>
        <w:tabs>
          <w:tab w:val="left" w:pos="0" w:leader="none"/>
        </w:tabs>
        <w:rPr>
          <w:rFonts w:ascii="宋体" w:hAnsi="宋体" w:eastAsia="宋体"/>
          <w:sz w:val="21"/>
          <w:szCs w:val="21"/>
          <w:highlight w:val="none"/>
        </w:rPr>
      </w:pPr>
      <w:r>
        <w:rPr>
          <w:rFonts w:hint="eastAsia" w:ascii="宋体" w:hAnsi="宋体" w:eastAsia="宋体"/>
          <w:sz w:val="21"/>
          <w:szCs w:val="21"/>
          <w:highlight w:val="none"/>
        </w:rPr>
        <w:t xml:space="preserve">（4）依法缴纳税收和社会保障资金的相关资料</w:t>
      </w:r>
      <w:r>
        <w:rPr>
          <w:rFonts w:hint="eastAsia" w:ascii="宋体" w:hAnsi="宋体" w:eastAsia="宋体"/>
          <w:b w:val="0"/>
          <w:bCs/>
          <w:sz w:val="21"/>
          <w:szCs w:val="21"/>
          <w:highlight w:val="none"/>
        </w:rPr>
        <w:t xml:space="preserve">（</w:t>
      </w:r>
      <w:bookmarkStart w:id="14" w:name="OLE_LINK2"/>
      <w:r>
        <w:rPr>
          <w:rFonts w:hint="eastAsia" w:ascii="宋体" w:hAnsi="宋体" w:eastAsia="宋体"/>
          <w:b w:val="0"/>
          <w:bCs/>
          <w:sz w:val="21"/>
          <w:szCs w:val="21"/>
          <w:highlight w:val="none"/>
        </w:rPr>
        <w:t xml:space="preserve">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bookmarkEnd w:id="14"/>
      <w:r>
        <w:rPr>
          <w:rFonts w:hint="eastAsia" w:ascii="宋体" w:hAnsi="宋体" w:eastAsia="宋体"/>
          <w:b w:val="0"/>
          <w:bCs/>
          <w:sz w:val="21"/>
          <w:szCs w:val="21"/>
          <w:highlight w:val="none"/>
        </w:rPr>
        <w:t xml:space="preserve">）</w:t>
      </w:r>
      <w:r>
        <w:rPr>
          <w:rFonts w:hint="eastAsia" w:ascii="宋体" w:hAnsi="宋体" w:eastAsia="宋体"/>
          <w:bCs/>
          <w:sz w:val="21"/>
          <w:szCs w:val="21"/>
          <w:highlight w:val="none"/>
        </w:rPr>
        <w:t xml:space="preserve">；</w:t>
      </w:r>
      <w:r/>
    </w:p>
    <w:p>
      <w:pPr>
        <w:pStyle w:val="738"/>
        <w:ind w:firstLine="480"/>
        <w:spacing w:line="360" w:lineRule="auto"/>
        <w:shd w:val="clear" w:color="auto"/>
        <w:tabs>
          <w:tab w:val="left" w:pos="0" w:leader="none"/>
        </w:tabs>
        <w:rPr>
          <w:rFonts w:ascii="宋体" w:hAnsi="宋体" w:eastAsia="宋体"/>
          <w:sz w:val="21"/>
          <w:szCs w:val="21"/>
          <w:highlight w:val="none"/>
        </w:rPr>
      </w:pPr>
      <w:r>
        <w:rPr>
          <w:rFonts w:hint="eastAsia" w:ascii="宋体" w:hAnsi="宋体" w:eastAsia="宋体"/>
          <w:sz w:val="21"/>
          <w:szCs w:val="21"/>
          <w:highlight w:val="none"/>
        </w:rPr>
        <w:t xml:space="preserve">（5）参加政府采购活动前三年内在经营活动中没有重大违法记录的书面声明函。</w:t>
      </w:r>
      <w:r/>
    </w:p>
    <w:p>
      <w:pPr>
        <w:ind w:firstLine="480"/>
        <w:spacing w:line="360" w:lineRule="auto"/>
        <w:shd w:val="clear" w:color="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rPr>
        <w:t xml:space="preserve">.4</w:t>
      </w:r>
      <w:r>
        <w:rPr>
          <w:rFonts w:hint="eastAsia" w:ascii="宋体" w:hAnsi="宋体" w:eastAsia="宋体"/>
          <w:sz w:val="21"/>
          <w:szCs w:val="21"/>
          <w:highlight w:val="none"/>
        </w:rPr>
        <w:t xml:space="preserve">.7投标人与其他单位存在控股、管理关系情况表；（格式见第三章）；</w:t>
      </w:r>
      <w:r/>
    </w:p>
    <w:p>
      <w:pPr>
        <w:ind w:firstLine="482"/>
        <w:spacing w:line="360" w:lineRule="auto"/>
        <w:shd w:val="clear" w:color="auto"/>
        <w:rPr>
          <w:rFonts w:ascii="宋体" w:hAnsi="宋体" w:eastAsia="宋体"/>
          <w:b/>
          <w:sz w:val="21"/>
          <w:szCs w:val="21"/>
          <w:highlight w:val="none"/>
        </w:rPr>
      </w:pPr>
      <w:r>
        <w:rPr>
          <w:rFonts w:hint="eastAsia" w:ascii="宋体" w:hAnsi="宋体" w:eastAsia="宋体"/>
          <w:b/>
          <w:sz w:val="21"/>
          <w:szCs w:val="21"/>
          <w:highlight w:val="none"/>
        </w:rPr>
        <w:t xml:space="preserve">1</w:t>
      </w:r>
      <w:r>
        <w:rPr>
          <w:rFonts w:hint="eastAsia" w:ascii="宋体" w:hAnsi="宋体" w:eastAsia="宋体"/>
          <w:b/>
          <w:sz w:val="21"/>
          <w:szCs w:val="21"/>
          <w:highlight w:val="none"/>
          <w:lang w:val="en-US" w:eastAsia="zh-CN"/>
        </w:rPr>
        <w:t xml:space="preserve">4</w:t>
      </w:r>
      <w:r>
        <w:rPr>
          <w:rFonts w:hint="eastAsia" w:ascii="宋体" w:hAnsi="宋体" w:eastAsia="宋体"/>
          <w:b/>
          <w:sz w:val="21"/>
          <w:szCs w:val="21"/>
          <w:highlight w:val="none"/>
        </w:rPr>
        <w:t xml:space="preserve">.</w:t>
      </w:r>
      <w:r>
        <w:rPr>
          <w:rFonts w:ascii="宋体" w:hAnsi="宋体" w:eastAsia="宋体"/>
          <w:b/>
          <w:sz w:val="21"/>
          <w:szCs w:val="21"/>
          <w:highlight w:val="none"/>
        </w:rPr>
        <w:t xml:space="preserve">5</w:t>
      </w:r>
      <w:r>
        <w:rPr>
          <w:rFonts w:hint="eastAsia" w:ascii="宋体" w:hAnsi="宋体" w:eastAsia="宋体"/>
          <w:b/>
          <w:sz w:val="21"/>
          <w:szCs w:val="21"/>
          <w:highlight w:val="none"/>
        </w:rPr>
        <w:t xml:space="preserve">符合性审查文件</w:t>
      </w:r>
      <w:r/>
    </w:p>
    <w:p>
      <w:pPr>
        <w:pStyle w:val="738"/>
        <w:ind w:firstLine="480"/>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w:t>
      </w:r>
      <w:r>
        <w:rPr>
          <w:rFonts w:ascii="宋体" w:hAnsi="宋体" w:eastAsia="宋体"/>
          <w:sz w:val="21"/>
          <w:szCs w:val="21"/>
          <w:highlight w:val="none"/>
        </w:rPr>
        <w:t xml:space="preserve">5.1</w:t>
      </w:r>
      <w:r>
        <w:rPr>
          <w:rFonts w:hint="eastAsia" w:ascii="宋体" w:hAnsi="宋体" w:eastAsia="宋体"/>
          <w:sz w:val="21"/>
          <w:szCs w:val="21"/>
          <w:highlight w:val="none"/>
        </w:rPr>
        <w:t xml:space="preserve">投标函（格式见第三章）；</w:t>
      </w:r>
      <w:r/>
    </w:p>
    <w:p>
      <w:pPr>
        <w:ind w:firstLine="480"/>
        <w:spacing w:line="360" w:lineRule="auto"/>
        <w:shd w:val="clear" w:color="auto"/>
        <w:tabs>
          <w:tab w:val="left" w:pos="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rPr>
        <w:t xml:space="preserve">.5.2</w:t>
      </w:r>
      <w:r>
        <w:rPr>
          <w:rFonts w:hint="eastAsia" w:ascii="宋体" w:hAnsi="宋体" w:eastAsia="宋体"/>
          <w:sz w:val="21"/>
          <w:szCs w:val="21"/>
          <w:highlight w:val="none"/>
        </w:rPr>
        <w:t xml:space="preserve">投标货物和服务数量、品牌规格、性能、交货期说明表（格式见第三章）；</w:t>
      </w:r>
      <w:r/>
    </w:p>
    <w:p>
      <w:pPr>
        <w:ind w:firstLine="480"/>
        <w:spacing w:line="360" w:lineRule="auto"/>
        <w:shd w:val="clear" w:color="auto"/>
        <w:tabs>
          <w:tab w:val="left" w:pos="0" w:leader="none"/>
        </w:tabs>
        <w:rPr>
          <w:rFonts w:hint="eastAsia"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rPr>
        <w:t xml:space="preserve">.5.3</w:t>
      </w:r>
      <w:r>
        <w:rPr>
          <w:rFonts w:hint="eastAsia" w:ascii="宋体" w:hAnsi="宋体" w:eastAsia="宋体"/>
          <w:sz w:val="21"/>
          <w:szCs w:val="21"/>
          <w:highlight w:val="none"/>
        </w:rPr>
        <w:t xml:space="preserve">《技术参数响应及偏离表》、《商务条款偏离表》等；</w:t>
      </w:r>
      <w:r/>
    </w:p>
    <w:p>
      <w:pPr>
        <w:ind w:firstLine="480"/>
        <w:spacing w:line="360" w:lineRule="auto"/>
        <w:shd w:val="clear" w:color="auto"/>
        <w:tabs>
          <w:tab w:val="left" w:pos="0" w:leader="none"/>
        </w:tabs>
        <w:rPr>
          <w:rFonts w:ascii="宋体" w:hAnsi="宋体" w:eastAsia="宋体"/>
          <w:b/>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rPr>
        <w:t xml:space="preserve">.5.4</w:t>
      </w:r>
      <w:bookmarkStart w:id="15" w:name="OLE_LINK3"/>
      <w:r>
        <w:rPr>
          <w:rFonts w:hint="eastAsia" w:ascii="宋体" w:hAnsi="宋体" w:eastAsia="宋体"/>
          <w:sz w:val="21"/>
          <w:szCs w:val="21"/>
          <w:highlight w:val="none"/>
        </w:rPr>
        <w:t xml:space="preserve">其他有关符合性证明的文件</w:t>
      </w:r>
      <w:bookmarkEnd w:id="15"/>
      <w:r>
        <w:rPr>
          <w:rFonts w:hint="eastAsia" w:ascii="宋体" w:hAnsi="宋体" w:eastAsia="宋体"/>
          <w:sz w:val="21"/>
          <w:szCs w:val="21"/>
          <w:highlight w:val="none"/>
        </w:rPr>
        <w:t xml:space="preserve">；</w:t>
      </w:r>
      <w:r/>
    </w:p>
    <w:p>
      <w:pPr>
        <w:ind w:firstLine="408"/>
        <w:spacing w:line="360" w:lineRule="auto"/>
        <w:shd w:val="clear" w:color="auto"/>
        <w:rPr>
          <w:rFonts w:ascii="宋体" w:hAnsi="宋体" w:eastAsia="宋体"/>
          <w:b/>
          <w:sz w:val="21"/>
          <w:szCs w:val="21"/>
          <w:highlight w:val="none"/>
        </w:rPr>
      </w:pPr>
      <w:r>
        <w:rPr>
          <w:rFonts w:hint="eastAsia" w:ascii="宋体" w:hAnsi="宋体" w:eastAsia="宋体"/>
          <w:b/>
          <w:sz w:val="21"/>
          <w:szCs w:val="21"/>
          <w:highlight w:val="none"/>
        </w:rPr>
        <w:t xml:space="preserve">1</w:t>
      </w:r>
      <w:r>
        <w:rPr>
          <w:rFonts w:hint="eastAsia" w:ascii="宋体" w:hAnsi="宋体" w:eastAsia="宋体"/>
          <w:b/>
          <w:sz w:val="21"/>
          <w:szCs w:val="21"/>
          <w:highlight w:val="none"/>
          <w:lang w:val="en-US" w:eastAsia="zh-CN"/>
        </w:rPr>
        <w:t xml:space="preserve">4</w:t>
      </w:r>
      <w:r>
        <w:rPr>
          <w:rFonts w:ascii="宋体" w:hAnsi="宋体" w:eastAsia="宋体"/>
          <w:b/>
          <w:sz w:val="21"/>
          <w:szCs w:val="21"/>
          <w:highlight w:val="none"/>
        </w:rPr>
        <w:t xml:space="preserve">.6</w:t>
      </w:r>
      <w:r>
        <w:rPr>
          <w:rFonts w:hint="eastAsia" w:ascii="宋体" w:hAnsi="宋体" w:eastAsia="宋体"/>
          <w:b/>
          <w:sz w:val="21"/>
          <w:szCs w:val="21"/>
          <w:highlight w:val="none"/>
        </w:rPr>
        <w:t xml:space="preserve">综合评审文件</w:t>
      </w:r>
      <w:r/>
    </w:p>
    <w:p>
      <w:pPr>
        <w:ind w:firstLine="408"/>
        <w:spacing w:line="360" w:lineRule="auto"/>
        <w:shd w:val="clear" w:color="auto"/>
        <w:rPr>
          <w:rFonts w:ascii="宋体" w:hAnsi="宋体" w:eastAsia="宋体"/>
          <w:sz w:val="21"/>
          <w:szCs w:val="21"/>
          <w:highlight w:val="none"/>
          <w:lang w:val="zh-CN"/>
        </w:rPr>
      </w:pPr>
      <w:r>
        <w:rPr>
          <w:rFonts w:ascii="宋体" w:hAnsi="宋体" w:eastAsia="宋体"/>
          <w:sz w:val="21"/>
          <w:szCs w:val="21"/>
          <w:highlight w:val="none"/>
          <w:lang w:val="zh-CN"/>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lang w:val="zh-CN"/>
        </w:rPr>
        <w:t xml:space="preserve">.6</w:t>
      </w:r>
      <w:r>
        <w:rPr>
          <w:rFonts w:hint="eastAsia" w:ascii="宋体" w:hAnsi="宋体" w:eastAsia="宋体"/>
          <w:sz w:val="21"/>
          <w:szCs w:val="21"/>
          <w:highlight w:val="none"/>
          <w:lang w:val="zh-CN"/>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针对本项目的实施</w:t>
      </w:r>
      <w:r>
        <w:rPr>
          <w:rFonts w:hint="eastAsia" w:ascii="宋体" w:hAnsi="宋体" w:eastAsia="宋体"/>
          <w:sz w:val="21"/>
          <w:szCs w:val="21"/>
          <w:highlight w:val="none"/>
          <w:lang w:val="zh-CN"/>
        </w:rPr>
        <w:t xml:space="preserve">方案；</w:t>
      </w:r>
      <w:r/>
    </w:p>
    <w:p>
      <w:pPr>
        <w:ind w:firstLine="408"/>
        <w:spacing w:line="360" w:lineRule="auto"/>
        <w:shd w:val="clear" w:color="auto"/>
        <w:rPr>
          <w:rFonts w:ascii="宋体" w:hAnsi="宋体" w:eastAsia="宋体"/>
          <w:sz w:val="21"/>
          <w:szCs w:val="21"/>
          <w:highlight w:val="none"/>
          <w:lang w:val="zh-CN"/>
        </w:rPr>
      </w:pPr>
      <w:r>
        <w:rPr>
          <w:rFonts w:hint="eastAsia" w:ascii="宋体" w:hAnsi="宋体" w:eastAsia="宋体"/>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.6.2</w:t>
      </w:r>
      <w:r>
        <w:rPr>
          <w:rFonts w:hint="eastAsia" w:ascii="宋体" w:hAnsi="宋体" w:eastAsia="宋体"/>
          <w:color w:val="000000" w:themeColor="text1"/>
          <w:sz w:val="21"/>
          <w:szCs w:val="21"/>
          <w:highlight w:val="none"/>
          <w14:textFill>
            <w14:solidFill>
              <w14:schemeClr w14:val="tx1"/>
            </w14:solidFill>
          </w14:textFill>
        </w:rPr>
        <w:t xml:space="preserve">服务期间人员配备；</w:t>
      </w:r>
      <w:r/>
    </w:p>
    <w:p>
      <w:pPr>
        <w:ind w:firstLine="408"/>
        <w:spacing w:line="360" w:lineRule="auto"/>
        <w:shd w:val="clear" w:color="auto"/>
        <w:rPr>
          <w:rFonts w:ascii="宋体" w:hAnsi="宋体" w:eastAsia="宋体"/>
          <w:sz w:val="21"/>
          <w:szCs w:val="21"/>
          <w:highlight w:val="none"/>
          <w:lang w:val="zh-CN"/>
        </w:rPr>
      </w:pPr>
      <w:r>
        <w:rPr>
          <w:rFonts w:ascii="宋体" w:hAnsi="宋体" w:eastAsia="宋体"/>
          <w:sz w:val="21"/>
          <w:szCs w:val="21"/>
          <w:highlight w:val="none"/>
          <w:lang w:val="zh-CN"/>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lang w:val="zh-CN"/>
        </w:rPr>
        <w:t xml:space="preserve">.6</w:t>
      </w:r>
      <w:r>
        <w:rPr>
          <w:rFonts w:hint="eastAsia" w:ascii="宋体" w:hAnsi="宋体" w:eastAsia="宋体"/>
          <w:sz w:val="21"/>
          <w:szCs w:val="21"/>
          <w:highlight w:val="none"/>
          <w:lang w:val="zh-CN"/>
        </w:rPr>
        <w:t xml:space="preserve">.</w:t>
      </w:r>
      <w:r>
        <w:rPr>
          <w:rFonts w:ascii="宋体" w:hAnsi="宋体" w:eastAsia="宋体"/>
          <w:sz w:val="21"/>
          <w:szCs w:val="21"/>
          <w:highlight w:val="none"/>
          <w:lang w:val="zh-CN"/>
        </w:rPr>
        <w:t xml:space="preserve">3</w:t>
      </w:r>
      <w:r>
        <w:rPr>
          <w:rFonts w:hint="eastAsia" w:ascii="宋体" w:hAnsi="宋体" w:eastAsia="宋体"/>
          <w:sz w:val="21"/>
          <w:szCs w:val="21"/>
          <w:highlight w:val="none"/>
          <w:lang w:val="zh-CN"/>
        </w:rPr>
        <w:t xml:space="preserve">企业技术力量比较；</w:t>
      </w:r>
      <w:r/>
    </w:p>
    <w:p>
      <w:pPr>
        <w:ind w:firstLine="408"/>
        <w:spacing w:line="360" w:lineRule="auto"/>
        <w:shd w:val="clear" w:color="auto"/>
        <w:rPr>
          <w:rFonts w:ascii="宋体" w:hAnsi="宋体" w:eastAsia="宋体"/>
          <w:sz w:val="21"/>
          <w:szCs w:val="21"/>
          <w:highlight w:val="none"/>
          <w:lang w:val="zh-CN"/>
        </w:rPr>
      </w:pPr>
      <w:r>
        <w:rPr>
          <w:rFonts w:ascii="宋体" w:hAnsi="宋体" w:eastAsia="宋体"/>
          <w:sz w:val="21"/>
          <w:szCs w:val="21"/>
          <w:highlight w:val="none"/>
          <w:lang w:val="zh-CN"/>
        </w:rPr>
        <w:t xml:space="preserve">1</w:t>
      </w:r>
      <w:r>
        <w:rPr>
          <w:rFonts w:hint="eastAsia" w:ascii="宋体" w:hAnsi="宋体" w:eastAsia="宋体"/>
          <w:sz w:val="21"/>
          <w:szCs w:val="21"/>
          <w:highlight w:val="none"/>
          <w:lang w:val="en-US" w:eastAsia="zh-CN"/>
        </w:rPr>
        <w:t xml:space="preserve">4</w:t>
      </w:r>
      <w:r>
        <w:rPr>
          <w:rFonts w:ascii="宋体" w:hAnsi="宋体" w:eastAsia="宋体"/>
          <w:sz w:val="21"/>
          <w:szCs w:val="21"/>
          <w:highlight w:val="none"/>
          <w:lang w:val="zh-CN"/>
        </w:rPr>
        <w:t xml:space="preserve">.6</w:t>
      </w:r>
      <w:r>
        <w:rPr>
          <w:rFonts w:hint="eastAsia" w:ascii="宋体" w:hAnsi="宋体" w:eastAsia="宋体"/>
          <w:sz w:val="21"/>
          <w:szCs w:val="21"/>
          <w:highlight w:val="none"/>
          <w:lang w:val="zh-CN"/>
        </w:rPr>
        <w:t xml:space="preserve">.</w:t>
      </w:r>
      <w:r>
        <w:rPr>
          <w:rFonts w:ascii="宋体" w:hAnsi="宋体" w:eastAsia="宋体"/>
          <w:sz w:val="21"/>
          <w:szCs w:val="21"/>
          <w:highlight w:val="none"/>
          <w:lang w:val="zh-CN"/>
        </w:rPr>
        <w:t xml:space="preserve">4</w:t>
      </w:r>
      <w:r>
        <w:rPr>
          <w:rFonts w:hint="eastAsia" w:ascii="宋体" w:hAnsi="宋体" w:eastAsia="宋体"/>
          <w:sz w:val="21"/>
          <w:szCs w:val="21"/>
          <w:highlight w:val="none"/>
          <w:lang w:val="zh-CN"/>
        </w:rPr>
        <w:t xml:space="preserve">投标单位综合能力；</w:t>
      </w:r>
      <w:r/>
    </w:p>
    <w:p>
      <w:pPr>
        <w:ind w:firstLine="408"/>
        <w:spacing w:line="360" w:lineRule="auto"/>
        <w:shd w:val="clear" w:color="auto"/>
        <w:rPr>
          <w:rFonts w:hint="eastAsia" w:ascii="宋体" w:hAnsi="宋体" w:eastAsia="宋体"/>
          <w:b w:val="0"/>
          <w:bCs w:val="0"/>
          <w:sz w:val="21"/>
          <w:szCs w:val="21"/>
          <w:highlight w:val="none"/>
          <w:lang w:eastAsia="zh-CN"/>
        </w:rPr>
      </w:pPr>
      <w:r>
        <w:rPr>
          <w:rFonts w:hint="eastAsia" w:ascii="宋体" w:hAnsi="宋体" w:eastAsia="宋体"/>
          <w:b w:val="0"/>
          <w:bCs w:val="0"/>
          <w:sz w:val="21"/>
          <w:szCs w:val="21"/>
          <w:highlight w:val="none"/>
        </w:rPr>
        <w:t xml:space="preserve">1</w:t>
      </w:r>
      <w:r>
        <w:rPr>
          <w:rFonts w:hint="eastAsia" w:ascii="宋体" w:hAnsi="宋体" w:eastAsia="宋体"/>
          <w:b w:val="0"/>
          <w:bCs w:val="0"/>
          <w:sz w:val="21"/>
          <w:szCs w:val="21"/>
          <w:highlight w:val="none"/>
          <w:lang w:val="en-US" w:eastAsia="zh-CN"/>
        </w:rPr>
        <w:t xml:space="preserve">4</w:t>
      </w:r>
      <w:r>
        <w:rPr>
          <w:rFonts w:hint="eastAsia" w:ascii="宋体" w:hAnsi="宋体" w:eastAsia="宋体"/>
          <w:b w:val="0"/>
          <w:bCs w:val="0"/>
          <w:sz w:val="21"/>
          <w:szCs w:val="21"/>
          <w:highlight w:val="none"/>
        </w:rPr>
        <w:t xml:space="preserve">.7《中小企业声明函》或《残疾人福利性单位声明函》或由省级以上监狱管理局、戒毒管理局（含新疆生产建设兵团）出具的属于监狱企业的证明文件。</w:t>
      </w:r>
      <w:r>
        <w:rPr>
          <w:rFonts w:hint="eastAsia" w:ascii="宋体" w:hAnsi="宋体" w:eastAsia="宋体"/>
          <w:b w:val="0"/>
          <w:bCs w:val="0"/>
          <w:sz w:val="21"/>
          <w:szCs w:val="21"/>
          <w:highlight w:val="none"/>
          <w:lang w:eastAsia="zh-CN"/>
        </w:rPr>
        <w:t xml:space="preserve">（</w:t>
      </w:r>
      <w:r>
        <w:rPr>
          <w:rFonts w:hint="eastAsia" w:ascii="宋体" w:hAnsi="宋体" w:eastAsia="宋体"/>
          <w:b w:val="0"/>
          <w:bCs w:val="0"/>
          <w:sz w:val="21"/>
          <w:szCs w:val="21"/>
          <w:highlight w:val="none"/>
          <w:lang w:val="en-US" w:eastAsia="zh-CN"/>
        </w:rPr>
        <w:t xml:space="preserve">如有</w:t>
      </w:r>
      <w:r>
        <w:rPr>
          <w:rFonts w:hint="eastAsia" w:ascii="宋体" w:hAnsi="宋体" w:eastAsia="宋体"/>
          <w:b w:val="0"/>
          <w:bCs w:val="0"/>
          <w:sz w:val="21"/>
          <w:szCs w:val="21"/>
          <w:highlight w:val="none"/>
          <w:lang w:eastAsia="zh-CN"/>
        </w:rPr>
        <w:t xml:space="preserve">）</w:t>
      </w:r>
      <w:r/>
    </w:p>
    <w:p>
      <w:pPr>
        <w:pStyle w:val="740"/>
        <w:shd w:val="clear" w:color="auto"/>
        <w:rPr>
          <w:rFonts w:hint="eastAsia" w:ascii="Times New Roman" w:hAnsi="Times New Roman" w:eastAsia="宋体"/>
          <w:b w:val="0"/>
          <w:bCs w:val="0"/>
          <w:sz w:val="24"/>
          <w:szCs w:val="20"/>
          <w:highlight w:val="none"/>
        </w:rPr>
      </w:pPr>
      <w:r>
        <w:rPr>
          <w:rFonts w:hint="eastAsia" w:ascii="宋体" w:hAnsi="宋体" w:eastAsia="宋体"/>
          <w:b w:val="0"/>
          <w:bCs w:val="0"/>
          <w:sz w:val="21"/>
          <w:szCs w:val="21"/>
          <w:highlight w:val="none"/>
          <w:lang w:val="en-US" w:eastAsia="zh-CN"/>
        </w:rPr>
        <w:t xml:space="preserve">    14.8</w:t>
      </w:r>
      <w:r>
        <w:rPr>
          <w:rFonts w:hint="eastAsia" w:ascii="宋体" w:hAnsi="宋体" w:eastAsia="宋体"/>
          <w:sz w:val="21"/>
          <w:szCs w:val="21"/>
          <w:highlight w:val="none"/>
        </w:rPr>
        <w:t xml:space="preserve">采购需求及评分标准中所涉及到的其他材料等</w:t>
      </w:r>
      <w:r>
        <w:rPr>
          <w:rFonts w:hint="eastAsia" w:ascii="宋体" w:hAnsi="宋体" w:eastAsia="宋体"/>
          <w:sz w:val="21"/>
          <w:szCs w:val="21"/>
          <w:highlight w:val="none"/>
          <w:lang w:eastAsia="zh-CN"/>
        </w:rPr>
        <w:t xml:space="preserve">。</w:t>
      </w:r>
      <w:r/>
    </w:p>
    <w:p>
      <w:pPr>
        <w:ind w:firstLine="422"/>
        <w:spacing w:line="400" w:lineRule="exact"/>
        <w:shd w:val="clear" w:color="auto"/>
        <w:tabs>
          <w:tab w:val="left" w:pos="0" w:leader="none"/>
        </w:tabs>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注：1、投标人必须提交上述14.1—14.</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rPr>
        <w:t xml:space="preserve">款规定的资料。否则，投标文件将因资格性条件不符或未实质性响应招标文件而被拒绝</w:t>
      </w:r>
      <w:r>
        <w:rPr>
          <w:rFonts w:hint="eastAsia" w:asciiTheme="minorEastAsia" w:hAnsiTheme="minorEastAsia" w:eastAsiaTheme="minorEastAsia" w:cstheme="minorEastAsia"/>
          <w:b/>
          <w:color w:val="auto"/>
          <w:sz w:val="21"/>
          <w:szCs w:val="21"/>
          <w:highlight w:val="none"/>
        </w:rPr>
        <w:t xml:space="preserve">。</w:t>
      </w:r>
      <w:r/>
    </w:p>
    <w:p>
      <w:pPr>
        <w:numPr>
          <w:ilvl w:val="-1"/>
          <w:numId w:val="0"/>
        </w:numPr>
        <w:ind w:firstLine="422"/>
        <w:spacing w:line="400" w:lineRule="exact"/>
        <w:shd w:val="clear" w:color="auto"/>
        <w:tabs>
          <w:tab w:val="left" w:pos="0" w:leader="none"/>
        </w:tabs>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lang w:val="en-US" w:eastAsia="zh-CN"/>
        </w:rPr>
        <w:t xml:space="preserve">2、</w:t>
      </w:r>
      <w:r>
        <w:rPr>
          <w:rFonts w:hint="eastAsia" w:asciiTheme="minorEastAsia" w:hAnsiTheme="minorEastAsia" w:eastAsiaTheme="minorEastAsia" w:cstheme="minorEastAsia"/>
          <w:b/>
          <w:bCs w:val="0"/>
          <w:color w:val="auto"/>
          <w:sz w:val="21"/>
          <w:szCs w:val="21"/>
          <w:highlight w:val="none"/>
        </w:rPr>
        <w:t xml:space="preserve">制作电子投标文件时必须与投标文件制作软件目录一一对应，将相关资料上传至相应模块。</w:t>
      </w:r>
      <w:r/>
    </w:p>
    <w:p>
      <w:pPr>
        <w:numPr>
          <w:ilvl w:val="-1"/>
          <w:numId w:val="0"/>
        </w:numPr>
        <w:ind w:left="0" w:firstLine="422"/>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numPr>
          <w:ilvl w:val="0"/>
          <w:numId w:val="2"/>
        </w:numPr>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投标文件编制要求</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15.1.投标文件按统一格式、顺序编写。</w:t>
      </w:r>
      <w:r/>
    </w:p>
    <w:p>
      <w:pPr>
        <w:ind w:firstLine="420"/>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15.2.《开标一览表》为在开标仪式上唱标的内容，要求按格式填写，统一规范，不得自行增减内容。</w:t>
      </w:r>
      <w:r/>
    </w:p>
    <w:p>
      <w:pPr>
        <w:numPr>
          <w:ilvl w:val="0"/>
          <w:numId w:val="2"/>
        </w:numPr>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投标报价（编制）要求的说明</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16.1.投标报价应包括完成该标的物全部内容的一切费用。投标报价为最终报价，投标人所报价格在合同实施期间不因市场变化因素而变动。</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16.2.投标人应按《投标报价表》中的全部货物和服务计算单价和总价。《投标报价表》中的每一单项均应计算并填写单价和总价，并由法定代表人或代理人签署。</w:t>
      </w:r>
      <w:r/>
    </w:p>
    <w:p>
      <w:pPr>
        <w:ind w:firstLine="420"/>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16.3.投标人应对招标文件内所要采购的全部内容进行报价，只投其中部分内容者，其标书将被拒绝。</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16.4.一项投标内容只允许一个报价，采购代理机构不接受任何有选择性的投标报价。</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16.5.投标文件报价中的单价和总价全部采用人民币表示，除非合同的特殊条款另有规定。</w:t>
      </w:r>
      <w:r/>
    </w:p>
    <w:p>
      <w:pPr>
        <w:numPr>
          <w:ilvl w:val="0"/>
          <w:numId w:val="2"/>
        </w:numPr>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投标保证金：无</w:t>
      </w:r>
      <w:r/>
    </w:p>
    <w:p>
      <w:pPr>
        <w:numPr>
          <w:ilvl w:val="0"/>
          <w:numId w:val="2"/>
        </w:numPr>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投标文件的有效期</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18.1.在本招标文件前附表规定的投标有效期内，投标人所提交的投标文件应保持有效。有效期短于这个规定期限的投标，将被拒绝。</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18.2.在特殊情况下，招标代理机构可与投标人协商延长投标书的有效期。这种要求和答复都应以书面形式进行。同意延长有效期的投标人不能修改投标文件。</w:t>
      </w:r>
      <w:r/>
    </w:p>
    <w:p>
      <w:pPr>
        <w:numPr>
          <w:ilvl w:val="0"/>
          <w:numId w:val="2"/>
        </w:numPr>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投标文件的制作、签署、上传</w:t>
      </w:r>
      <w:r/>
    </w:p>
    <w:p>
      <w:pPr>
        <w:numPr>
          <w:ilvl w:val="1"/>
          <w:numId w:val="2"/>
        </w:numPr>
        <w:ind w:left="0"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本项目采用电子招投标形式，请供应商按照《苏采云系统供应商操作手册》进行制作、上传电子投标文件。</w:t>
      </w:r>
      <w:r/>
    </w:p>
    <w:p>
      <w:pPr>
        <w:numPr>
          <w:ilvl w:val="1"/>
          <w:numId w:val="2"/>
        </w:numPr>
        <w:ind w:left="0"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制作电子投标文件时，应按照招标文件要求加盖投标人电子公章。</w:t>
      </w:r>
      <w:r/>
    </w:p>
    <w:p>
      <w:pPr>
        <w:numPr>
          <w:ilvl w:val="1"/>
          <w:numId w:val="2"/>
        </w:numPr>
        <w:ind w:left="0" w:firstLine="422"/>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电子投标文件制作完成后请于投标文件网上提交截止时间前成功上传至“苏采云”系统，否则视为放弃参加该采购项目。</w:t>
      </w:r>
      <w:r>
        <w:rPr>
          <w:rFonts w:hint="eastAsia" w:asciiTheme="minorEastAsia" w:hAnsiTheme="minorEastAsia" w:eastAsiaTheme="minorEastAsia" w:cstheme="minorEastAsia"/>
          <w:bCs/>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numPr>
          <w:ilvl w:val="0"/>
          <w:numId w:val="1"/>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投标文件递交及要求</w:t>
      </w:r>
      <w:r/>
    </w:p>
    <w:p>
      <w:pPr>
        <w:numPr>
          <w:ilvl w:val="0"/>
          <w:numId w:val="2"/>
        </w:numPr>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投标文件的递交</w:t>
      </w:r>
      <w:r/>
    </w:p>
    <w:p>
      <w:pPr>
        <w:numPr>
          <w:ilvl w:val="1"/>
          <w:numId w:val="2"/>
        </w:numPr>
        <w:ind w:left="0"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投标人应当在在投标截止时间前制作并上传电子投标文件。</w:t>
      </w:r>
      <w:r/>
    </w:p>
    <w:p>
      <w:pPr>
        <w:numPr>
          <w:ilvl w:val="1"/>
          <w:numId w:val="2"/>
        </w:numPr>
        <w:ind w:left="0" w:firstLine="422"/>
        <w:jc w:val="left"/>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投标人通过“苏采云”系统不见面开标大厅在线参与开标活动。（具体操作详见《苏采云系统供应商操作手册》，网址链接https://czju.suzhou.gov.cn/zfcg/html/content/20231220161910031.shtml）</w:t>
      </w:r>
      <w:r/>
    </w:p>
    <w:p>
      <w:pPr>
        <w:numPr>
          <w:ilvl w:val="0"/>
          <w:numId w:val="2"/>
        </w:numPr>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投标截止时间</w:t>
      </w:r>
      <w:r/>
    </w:p>
    <w:p>
      <w:pPr>
        <w:numPr>
          <w:ilvl w:val="1"/>
          <w:numId w:val="2"/>
        </w:numPr>
        <w:ind w:left="0"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投标人应当在招标文件要求投标文件网上提交截止时间前，将投标文件完成提交（上传）。逾期提交（上传）的投标文件，采购人和采购代理机构拒绝接收。</w:t>
      </w:r>
      <w:r/>
    </w:p>
    <w:p>
      <w:pPr>
        <w:numPr>
          <w:ilvl w:val="1"/>
          <w:numId w:val="2"/>
        </w:numPr>
        <w:ind w:left="0"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采购人和采购代理机构推迟投标截止时间时，将按本须知规定的更正公告的方式对外发布。在这种情况下，采购人、采购代理机构和投标人的权利和义务将受到新的截止期的约束。</w:t>
      </w:r>
      <w:r/>
    </w:p>
    <w:p>
      <w:pPr>
        <w:numPr>
          <w:ilvl w:val="1"/>
          <w:numId w:val="2"/>
        </w:numPr>
        <w:ind w:left="0"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在投标截止时间止成功解密的投标文件少于三份，采购代理机构有权宣布本次招标失败。</w:t>
      </w:r>
      <w:r/>
    </w:p>
    <w:p>
      <w:pPr>
        <w:numPr>
          <w:ilvl w:val="0"/>
          <w:numId w:val="2"/>
        </w:numPr>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投标文件的补充、修改和撤回</w:t>
      </w:r>
      <w:r/>
    </w:p>
    <w:p>
      <w:pPr>
        <w:numPr>
          <w:ilvl w:val="1"/>
          <w:numId w:val="2"/>
        </w:numPr>
        <w:ind w:left="0"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投标人在投标文件网上提交截止时间前，可以对其电子投标文件进行补充、修改，具体操作方法见《苏采云系统供应商操作手册》。在投标文件网上提交截止时间之后，投标人不得对其电子投标文件作任何修改。</w:t>
      </w:r>
      <w:r/>
    </w:p>
    <w:p>
      <w:pPr>
        <w:numPr>
          <w:ilvl w:val="1"/>
          <w:numId w:val="2"/>
        </w:numPr>
        <w:ind w:left="0"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投标人在投标文件网上提交截止时间前，可以撤回其电子投标文件，</w:t>
      </w:r>
      <w:r>
        <w:rPr>
          <w:rFonts w:hint="eastAsia" w:asciiTheme="minorEastAsia" w:hAnsiTheme="minorEastAsia" w:eastAsiaTheme="minorEastAsia" w:cstheme="minorEastAsia"/>
          <w:b/>
          <w:color w:val="auto"/>
          <w:sz w:val="21"/>
          <w:szCs w:val="21"/>
          <w:highlight w:val="none"/>
        </w:rPr>
        <w:t xml:space="preserve">具体操作方法见《苏采云系统供应商操作手册》</w:t>
      </w:r>
      <w:r>
        <w:rPr>
          <w:rFonts w:hint="eastAsia" w:asciiTheme="minorEastAsia" w:hAnsiTheme="minorEastAsia" w:eastAsiaTheme="minorEastAsia" w:cstheme="minorEastAsia"/>
          <w:bCs/>
          <w:color w:val="auto"/>
          <w:sz w:val="21"/>
          <w:szCs w:val="21"/>
          <w:highlight w:val="none"/>
        </w:rPr>
        <w:t xml:space="preserve">。</w:t>
      </w:r>
      <w:bookmarkStart w:id="16" w:name="_Toc29371"/>
      <w:r/>
      <w:bookmarkStart w:id="17" w:name="_Toc22837"/>
      <w:r>
        <w:rPr>
          <w:rFonts w:hint="eastAsia" w:asciiTheme="minorEastAsia" w:hAnsiTheme="minorEastAsia" w:eastAsiaTheme="minorEastAsia" w:cstheme="minorEastAsia"/>
          <w:bCs/>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numPr>
          <w:ilvl w:val="0"/>
          <w:numId w:val="1"/>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开标和评标</w:t>
      </w:r>
      <w:bookmarkEnd w:id="16"/>
      <w:r/>
      <w:bookmarkEnd w:id="17"/>
      <w:r/>
      <w:r/>
    </w:p>
    <w:p>
      <w:pPr>
        <w:numPr>
          <w:ilvl w:val="0"/>
          <w:numId w:val="2"/>
        </w:numPr>
        <w:spacing w:line="400" w:lineRule="exact"/>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开标</w:t>
      </w:r>
      <w:r/>
    </w:p>
    <w:p>
      <w:pPr>
        <w:numPr>
          <w:ilvl w:val="1"/>
          <w:numId w:val="2"/>
        </w:numPr>
        <w:ind w:left="0"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2"/>
        </w:numPr>
        <w:ind w:left="0"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1"/>
          <w:numId w:val="2"/>
        </w:numPr>
        <w:ind w:left="0"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资格审查</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23.3.1公开招标采购项目开标结束后，采购人应当依法对投标人的资格进行审查，未通过资格审查的视为无效投标。</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23.3.2.1查询时间：投标文件递交截止时间。</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23.3.2.2查询渠道：采购代理机构会在接收投标文件截止时间后，登录信用中国网站（www.creditchina.gov.cn）和中国政府采购网（www.ccgp.gov.cn/）查询供应商的信用记录，并将查询结果递交评标委员会。</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400" w:lineRule="exact"/>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评标委员会</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评标委员会负责具体评标事务，并独立履行下列职责：</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24.1.1审查、评价投标文件是否符合招标文件的商务、技术等实质性要求；</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24.1.2要求投标人对投标文件有关事项作出澄清或者说明；</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24.1.3对投标文件进行比较和评价；</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24.1.4确定中标候选人名单，以及根据采购人委托直接确定中标人；</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24.1.5向采购人、采购代理机构或者有关部门报告评标中发现的违法行为。</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评标委员会成员应当履行下列义务：</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24.2.1遵纪守法，客观、公正、廉洁地履行职责；</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24.2.2按照招标文件规定的评标办法和评标标准进行评标，对评审意见承担个人责任；</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24.2.3对评标过程和结果，以及投标人的商业秘密保密；</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24.2.4评标委员会根据全体评标成员签字的原始评标记录和评标结果编写评标报告。评标报告应当包括以下内容： </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（一）招标公告刊登的媒体名称、开标日期和地点；</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（二）投标人名单和评标委员会成员名单；</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（三）评标方法和标准；</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（四）开标记录和评标情况及说明，包括无效投标人名单及原因；</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（五）评标结果，确定的中标候选人名单或者经采购人委托直接确定的中标人；</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（六）其他需要说明的情况，包括评标过程中投标人根据评标委员会要求进行的澄清、说明或者补正，评标委员会成员的更换等。</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24.2.5配合相关部门的投诉处理工作；</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24.2.6配合采购人和采购代理机构答复投标人提出的质疑。</w:t>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评标内容的保密</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公开开标后，直到宣布授予中标合同为止，凡属于审查、澄清、评价和比较投标的所有资料，有关授予合同的信息都不应向投标人或与评标无关的其他人泄露。</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在投标文件的审查、澄清、评价和比较以及授予合同的过程中，投标人对采购人、采购代理机构和评标委员会成员施加影响的任何行为，都将取消其中标资格。</w:t>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对投标文件初审</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评标委员会应当对符合资格的投标人的投标文件进行符合性审查，以确定其是否满足招标文件的实质性要求。</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投标文件有下列情况之一者评标委员会有权将其拒绝：</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26.1.1投标人的投标文件未按照本须知规定制作的；</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26.1.2未按本须知规定提交资格文件；</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26.1.3与招标文件有重大偏离；</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26.1.4投标人拒绝修正错误；</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26.1.5投标人的报价是选择性的；</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26.1.6投标人的报价只投了部分内容；</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26.1.7投标人的投标文件出现了评标委员会认为不应当雷同的情况；</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26.1.8其他被评委会认定无效的情况。</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投标文件报价出现前后不一致的，除招标文件另有规定外，按照下列规定修正：</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（一）投标文件中开标一览表（报价表）内容与投标文件中相应内容不一致的，以开标一览表（报价表）为准；</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（二）大写金额和小写金额不一致的，以大写金额为准；</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（三）单价金额小数点或者百分比有明显错位的，以开标一览表的总价为准，并修改单价；</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（四）总价金额与按单价汇总金额不一致的，以单价金额计算结果为准。</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评审委员会启动异常低价投标（响应）审查的情形和具体要求：</w:t>
      </w:r>
      <w:r/>
    </w:p>
    <w:p>
      <w:pPr>
        <w:numPr>
          <w:ilvl w:val="-1"/>
          <w:numId w:val="0"/>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（1）评审过程中出现下列情形之一的，评审委员会应当启动异常低价投标(响应)审查程序</w:t>
      </w:r>
      <w:r>
        <w:rPr>
          <w:rFonts w:hint="eastAsia" w:asciiTheme="minorEastAsia" w:hAnsiTheme="minorEastAsia" w:eastAsiaTheme="minorEastAsia" w:cstheme="minorEastAsia"/>
          <w:bCs/>
          <w:color w:val="auto"/>
          <w:sz w:val="21"/>
          <w:szCs w:val="21"/>
          <w:highlight w:val="none"/>
        </w:rPr>
        <w:t xml:space="preserve">：</w:t>
      </w:r>
      <w:r/>
    </w:p>
    <w:p>
      <w:pPr>
        <w:numPr>
          <w:ilvl w:val="-1"/>
          <w:numId w:val="0"/>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①投标(响应)报价低于采购项目预算50%的，即投标(响应)报价&lt;采购项目预算x50%</w:t>
      </w:r>
      <w:r>
        <w:rPr>
          <w:rFonts w:hint="eastAsia" w:asciiTheme="minorEastAsia" w:hAnsiTheme="minorEastAsia" w:eastAsiaTheme="minorEastAsia" w:cstheme="minorEastAsia"/>
          <w:bCs/>
          <w:color w:val="auto"/>
          <w:sz w:val="21"/>
          <w:szCs w:val="21"/>
          <w:highlight w:val="none"/>
        </w:rPr>
        <w:t xml:space="preserve">；</w:t>
      </w:r>
      <w:r/>
    </w:p>
    <w:p>
      <w:pPr>
        <w:numPr>
          <w:ilvl w:val="-1"/>
          <w:numId w:val="0"/>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②投标(响应)报价低于采购项目最高限价45%的，即投标(响应)报价&lt;采购项目最高限价x45%</w:t>
      </w:r>
      <w:r>
        <w:rPr>
          <w:rFonts w:hint="eastAsia" w:asciiTheme="minorEastAsia" w:hAnsiTheme="minorEastAsia" w:eastAsiaTheme="minorEastAsia" w:cstheme="minorEastAsia"/>
          <w:bCs/>
          <w:color w:val="auto"/>
          <w:sz w:val="21"/>
          <w:szCs w:val="21"/>
          <w:highlight w:val="none"/>
        </w:rPr>
        <w:t xml:space="preserve">；</w:t>
      </w:r>
      <w:r/>
    </w:p>
    <w:p>
      <w:pPr>
        <w:numPr>
          <w:ilvl w:val="-1"/>
          <w:numId w:val="0"/>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③评审委员会认定的供应商报价过低</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rPr>
        <w:t xml:space="preserve">有可能影响产品质量或者不能诚信履约的其他情形</w:t>
      </w:r>
      <w:r>
        <w:rPr>
          <w:rFonts w:hint="eastAsia" w:asciiTheme="minorEastAsia" w:hAnsiTheme="minorEastAsia" w:eastAsiaTheme="minorEastAsia" w:cstheme="minorEastAsia"/>
          <w:bCs/>
          <w:color w:val="auto"/>
          <w:sz w:val="21"/>
          <w:szCs w:val="21"/>
          <w:highlight w:val="none"/>
        </w:rPr>
        <w:t xml:space="preserve">。</w:t>
      </w:r>
      <w:r/>
    </w:p>
    <w:p>
      <w:pPr>
        <w:numPr>
          <w:ilvl w:val="-1"/>
          <w:numId w:val="0"/>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投标的澄清</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对于投标文件中含义不明确、同类问题表述不一致或者有明显文字和计算错误的内容，评标委员会应当以书面形式要求投标人作出必要的澄清、说明或者补正。</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投标人的澄清、说明或者补正应当采用书面形式，并加盖其单位电子公章。投标人的澄清、说明或者补正不得超出投标文件的范围或者改变投标文件的实质性内容。</w:t>
      </w:r>
      <w:r/>
    </w:p>
    <w:p>
      <w:pPr>
        <w:pStyle w:val="755"/>
        <w:ind w:firstLine="422"/>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b/>
          <w:color w:val="auto"/>
          <w:sz w:val="21"/>
          <w:szCs w:val="21"/>
          <w:highlight w:val="none"/>
        </w:rPr>
        <w:t xml:space="preserve">此处规定时间的计算以系统中的倒计时间为准，</w:t>
      </w:r>
      <w:r>
        <w:rPr>
          <w:rFonts w:hint="eastAsia" w:asciiTheme="minorEastAsia" w:hAnsiTheme="minorEastAsia" w:eastAsiaTheme="minorEastAsia" w:cstheme="minorEastAsia"/>
          <w:color w:val="auto"/>
          <w:sz w:val="21"/>
          <w:szCs w:val="21"/>
          <w:highlight w:val="none"/>
        </w:rPr>
        <w:t xml:space="preserve">供应商应随时保持系统在线，如因供应商自身原因未在规定时间内提交澄清确认资料的，导致的不利后果由供应商自行承担。</w:t>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投标无效</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投标人存在下列情况之一的，投标无效:</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一</w:t>
      </w:r>
      <w:r>
        <w:rPr>
          <w:rFonts w:hint="eastAsia" w:asciiTheme="minorEastAsia" w:hAnsiTheme="minorEastAsia" w:eastAsiaTheme="minorEastAsia" w:cstheme="minorEastAsia"/>
          <w:color w:val="auto"/>
          <w:sz w:val="21"/>
          <w:szCs w:val="21"/>
          <w:highlight w:val="none"/>
        </w:rPr>
        <w:t xml:space="preserve">）投标文件未按招标文件要求签署、盖章的；</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二</w:t>
      </w:r>
      <w:r>
        <w:rPr>
          <w:rFonts w:hint="eastAsia" w:asciiTheme="minorEastAsia" w:hAnsiTheme="minorEastAsia" w:eastAsiaTheme="minorEastAsia" w:cstheme="minorEastAsia"/>
          <w:color w:val="auto"/>
          <w:sz w:val="21"/>
          <w:szCs w:val="21"/>
          <w:highlight w:val="none"/>
        </w:rPr>
        <w:t xml:space="preserve">）不具备招标文件中规定的资格要求的；</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三</w:t>
      </w:r>
      <w:r>
        <w:rPr>
          <w:rFonts w:hint="eastAsia" w:asciiTheme="minorEastAsia" w:hAnsiTheme="minorEastAsia" w:eastAsiaTheme="minorEastAsia" w:cstheme="minorEastAsia"/>
          <w:color w:val="auto"/>
          <w:sz w:val="21"/>
          <w:szCs w:val="21"/>
          <w:highlight w:val="none"/>
        </w:rPr>
        <w:t xml:space="preserve">）报价超过招标文件中规定的预算金额或者最高限价的；</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四</w:t>
      </w:r>
      <w:r>
        <w:rPr>
          <w:rFonts w:hint="eastAsia" w:asciiTheme="minorEastAsia" w:hAnsiTheme="minorEastAsia" w:eastAsiaTheme="minorEastAsia" w:cstheme="minorEastAsia"/>
          <w:color w:val="auto"/>
          <w:sz w:val="21"/>
          <w:szCs w:val="21"/>
          <w:highlight w:val="none"/>
        </w:rPr>
        <w:t xml:space="preserve">）投标文件含有采购人不能接受的附加条件的；</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（五）法律、法规和招标文件规定的其他无效情形。</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投标人应当遵循公平竞争的原则，不得恶意串通，不得妨碍其他投标人的竞争行为，不得损害采购人或者其他投标人的合法权益。</w:t>
      </w:r>
      <w:r/>
    </w:p>
    <w:p>
      <w:pPr>
        <w:ind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在评标过程中发现投标人有上述情形的，评标委员会应当认定其投标无效，并书面报告本级财政部门。</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有下列情形之一的，视为投标人串通投标，其投标无效：</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（一）不同投标人的投标文件由同一单位或者个人编制；</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（二）不同投标人委托同一单位或者个人办理投标事宜；</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（三）不同投标人的投标文件载明的项目管理成员或者联系人员为同一人；</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（四）不同投标人的投标文件异常一致或者投标报价呈规律性差异；</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（五）不同投标人的投标文件相互混装。</w:t>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废标</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在招标过程中，出现下列情况之一的，应予废标：</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29.1.1符合专业条件的供应商或者对招标文件作实质投标的供应商不足</w:t>
      </w:r>
      <w:r>
        <w:rPr>
          <w:rFonts w:hint="eastAsia" w:asciiTheme="minorEastAsia" w:hAnsiTheme="minorEastAsia" w:eastAsiaTheme="minorEastAsia" w:cstheme="minorEastAsia"/>
          <w:color w:val="auto"/>
          <w:sz w:val="21"/>
          <w:szCs w:val="21"/>
          <w:highlight w:val="none"/>
          <w:lang w:val="en-US"/>
        </w:rPr>
        <w:t xml:space="preserve">三</w:t>
      </w:r>
      <w:r>
        <w:rPr>
          <w:rFonts w:hint="eastAsia" w:asciiTheme="minorEastAsia" w:hAnsiTheme="minorEastAsia" w:eastAsiaTheme="minorEastAsia" w:cstheme="minorEastAsia"/>
          <w:color w:val="auto"/>
          <w:sz w:val="21"/>
          <w:szCs w:val="21"/>
          <w:highlight w:val="none"/>
        </w:rPr>
        <w:t xml:space="preserve">家的；</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29.1.2出现影响采购公正的违法、违规行为的；</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29.1.3投标人的报价均超过了采购预算，采购人不能支付的；</w:t>
      </w:r>
      <w:r/>
    </w:p>
    <w:p>
      <w:pPr>
        <w:pStyle w:val="755"/>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rPr>
        <w:t xml:space="preserve">9</w:t>
      </w:r>
      <w:r>
        <w:rPr>
          <w:rFonts w:hint="eastAsia" w:asciiTheme="minorEastAsia" w:hAnsiTheme="minorEastAsia" w:eastAsiaTheme="minorEastAsia" w:cstheme="minorEastAsia"/>
          <w:color w:val="auto"/>
          <w:sz w:val="21"/>
          <w:szCs w:val="21"/>
          <w:highlight w:val="none"/>
        </w:rPr>
        <w:t xml:space="preserve">.1.4因重大变故，采购任务取消的；</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废标后，采购人和采购代理机构将把废标的理由通知所有投标人。</w:t>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投标文件的评价和比较</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最低的投标报价或最高的折扣比例是中标的重要条件，但不是唯一条件。</w:t>
      </w:r>
      <w:bookmarkStart w:id="18" w:name="_Toc18442"/>
      <w:r/>
      <w:bookmarkStart w:id="19" w:name="_Toc19501"/>
      <w:r/>
      <w:r/>
    </w:p>
    <w:p>
      <w:pPr>
        <w:numPr>
          <w:ilvl w:val="0"/>
          <w:numId w:val="1"/>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授予合同</w:t>
      </w:r>
      <w:bookmarkEnd w:id="18"/>
      <w:r/>
      <w:bookmarkEnd w:id="19"/>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中标单位的确认</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评标委员会根据投标人资格审查情况，对投标文件进行评价和比较，按照评标办法和标准进行评标，并按采购人的委托向采购人推荐中标人。</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合同授予标准</w:t>
      </w:r>
      <w:r/>
    </w:p>
    <w:p>
      <w:pPr>
        <w:ind w:firstLine="420"/>
        <w:spacing w:line="360" w:lineRule="auto"/>
        <w:shd w:val="clear" w:color="auto"/>
        <w:tabs>
          <w:tab w:val="left" w:pos="425" w:leader="none"/>
          <w:tab w:val="left" w:pos="1134"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中标通知书</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确定出中标人后，</w:t>
      </w:r>
      <w:r>
        <w:rPr>
          <w:rFonts w:hint="eastAsia" w:asciiTheme="minorEastAsia" w:hAnsiTheme="minorEastAsia" w:eastAsiaTheme="minorEastAsia" w:cstheme="minorEastAsia"/>
          <w:b/>
          <w:color w:val="auto"/>
          <w:sz w:val="21"/>
          <w:szCs w:val="21"/>
          <w:highlight w:val="none"/>
        </w:rPr>
        <w:t xml:space="preserve">采购代理机构在法定时间内向中标人发出中标通知书。请中标人在中标结果公告届满之日起30日内,使用CA证书登录“苏采云”系统及时下载中标通知书。</w:t>
      </w:r>
      <w:r>
        <w:rPr>
          <w:rFonts w:hint="eastAsia" w:asciiTheme="minorEastAsia" w:hAnsiTheme="minorEastAsia" w:eastAsiaTheme="minorEastAsia" w:cstheme="minorEastAsia"/>
          <w:bCs/>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中标通知书将成为合同的组成部分，对采购人和中标人具有同等法律效力。</w:t>
      </w:r>
      <w:r/>
    </w:p>
    <w:p>
      <w:pPr>
        <w:numPr>
          <w:ilvl w:val="1"/>
          <w:numId w:val="2"/>
        </w:numPr>
        <w:ind w:left="0" w:firstLine="420"/>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中标通知书发出后，采购人不得违法改变中标结果，中标人无正当理由不得放弃中标。</w:t>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合同的签订</w:t>
      </w:r>
      <w:r/>
    </w:p>
    <w:p>
      <w:pPr>
        <w:pStyle w:val="738"/>
        <w:numPr>
          <w:ilvl w:val="1"/>
          <w:numId w:val="2"/>
        </w:numPr>
        <w:ind w:left="0" w:firstLine="502"/>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中标单位应按中标通知书中规定的时间和地点，由法定代表人或委托代理人与甲方代表签订合同,否则按放弃中标权处理。</w:t>
      </w:r>
      <w:r/>
    </w:p>
    <w:p>
      <w:pPr>
        <w:pStyle w:val="738"/>
        <w:numPr>
          <w:ilvl w:val="1"/>
          <w:numId w:val="2"/>
        </w:numPr>
        <w:ind w:left="0" w:firstLine="502"/>
        <w:jc w:val="both"/>
        <w:spacing w:line="360" w:lineRule="auto"/>
        <w:shd w:val="clear" w:color="auto"/>
        <w:rPr>
          <w:rFonts w:hint="eastAsia" w:asciiTheme="minorEastAsia" w:hAnsiTheme="minorEastAsia" w:eastAsiaTheme="minorEastAsia" w:cstheme="minorEastAsia"/>
          <w:color w:val="auto"/>
          <w:sz w:val="21"/>
          <w:szCs w:val="21"/>
          <w:highlight w:val="none"/>
        </w:rPr>
      </w:pPr>
      <w:r/>
      <w:bookmarkStart w:id="20" w:name="_Toc21029"/>
      <w:r/>
      <w:bookmarkStart w:id="21" w:name="_Toc8186"/>
      <w:r>
        <w:rPr>
          <w:rFonts w:hint="eastAsia" w:asciiTheme="minorEastAsia" w:hAnsiTheme="minorEastAsia" w:eastAsiaTheme="minorEastAsia" w:cstheme="minorEastAsia"/>
          <w:color w:val="auto"/>
          <w:sz w:val="21"/>
          <w:szCs w:val="21"/>
          <w:highlight w:val="none"/>
        </w:rPr>
        <w:t xml:space="preserve">签订合同及合同条款应以招标文件和中标单位的投标文件及其澄清文件为依据。</w:t>
      </w:r>
      <w:r/>
    </w:p>
    <w:p>
      <w:pPr>
        <w:pStyle w:val="738"/>
        <w:numPr>
          <w:ilvl w:val="1"/>
          <w:numId w:val="2"/>
        </w:numPr>
        <w:ind w:left="0" w:firstLine="502"/>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中标人无正当理由拒签合同的，或在签订合同时向采购单位提出附加条件或者更改合同实质性内容的，报相关政府采购监督部门处理。</w:t>
      </w:r>
      <w:r/>
    </w:p>
    <w:p>
      <w:pPr>
        <w:numPr>
          <w:ilvl w:val="0"/>
          <w:numId w:val="1"/>
        </w:numPr>
        <w:spacing w:line="400" w:lineRule="exact"/>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其他事项</w:t>
      </w:r>
      <w:bookmarkEnd w:id="20"/>
      <w:r/>
      <w:bookmarkEnd w:id="21"/>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中标服务费</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标服务费由中标单位在领取中标通知书时付清，以预算金额作为收费基数标准，按收费比例差额定率累进法计算并支付，具体为100万元以内1.5%、100万元（含）-500万元以内1.1%、500万元（含）-1000万元以内0.8%、1000万元（含）-5000万元以内0.5%、5000万元以上0.25%差额定率累进法计算并支付中标服务费。</w:t>
      </w:r>
      <w:r>
        <w:rPr>
          <w:rFonts w:hint="eastAsia" w:asciiTheme="minorEastAsia" w:hAnsiTheme="minorEastAsia" w:eastAsiaTheme="minorEastAsia" w:cstheme="minorEastAsia"/>
          <w:b w:val="0"/>
          <w:bCs w:val="0"/>
          <w:color w:val="auto"/>
          <w:sz w:val="21"/>
          <w:szCs w:val="21"/>
          <w:highlight w:val="none"/>
        </w:rPr>
        <w:t xml:space="preserve">本项目中标服务费为56455.24元</w:t>
      </w:r>
      <w:r>
        <w:rPr>
          <w:rFonts w:hint="eastAsia" w:asciiTheme="minorEastAsia" w:hAnsiTheme="minorEastAsia" w:eastAsiaTheme="minorEastAsia" w:cstheme="minorEastAsia"/>
          <w:color w:val="auto"/>
          <w:sz w:val="21"/>
          <w:szCs w:val="21"/>
          <w:highlight w:val="none"/>
        </w:rPr>
        <w:t xml:space="preserve">。</w:t>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监督</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政府有关监督部门将对招投标全过程进行监督。</w:t>
      </w:r>
      <w:r/>
    </w:p>
    <w:p>
      <w:pPr>
        <w:numPr>
          <w:ilvl w:val="0"/>
          <w:numId w:val="2"/>
        </w:numP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未尽事宜</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按《中华人民共和国政府采购法》及其他有关的法律法规的规定执行。</w:t>
      </w:r>
      <w:r/>
    </w:p>
    <w:p>
      <w:pPr>
        <w:shd w:val="clear" w:color="auto"/>
        <w:rPr>
          <w:rFonts w:hint="eastAsia" w:asciiTheme="minorEastAsia" w:hAnsiTheme="minorEastAsia" w:eastAsiaTheme="minorEastAsia" w:cstheme="minorEastAsia"/>
          <w:b/>
          <w:color w:val="auto"/>
          <w:sz w:val="32"/>
          <w:szCs w:val="32"/>
          <w:highlight w:val="none"/>
        </w:rPr>
      </w:pPr>
      <w:r/>
      <w:bookmarkStart w:id="22" w:name="_Toc35951273"/>
      <w:r/>
      <w:bookmarkStart w:id="23" w:name="_Toc492394289"/>
      <w:r>
        <w:rPr>
          <w:rFonts w:hint="eastAsia" w:asciiTheme="minorEastAsia" w:hAnsiTheme="minorEastAsia" w:eastAsiaTheme="minorEastAsia" w:cstheme="minorEastAsia"/>
          <w:b/>
          <w:color w:val="auto"/>
          <w:sz w:val="32"/>
          <w:szCs w:val="32"/>
          <w:highlight w:val="none"/>
        </w:rPr>
        <w:br w:type="page" w:clear="all"/>
      </w:r>
      <w:r/>
    </w:p>
    <w:p>
      <w:pPr>
        <w:pStyle w:val="747"/>
        <w:ind w:left="0"/>
        <w:jc w:val="center"/>
        <w:spacing w:after="0" w:line="360" w:lineRule="auto"/>
        <w:shd w:val="clear" w:color="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b/>
          <w:color w:val="auto"/>
          <w:sz w:val="32"/>
          <w:szCs w:val="32"/>
          <w:highlight w:val="none"/>
        </w:rPr>
        <w:t xml:space="preserve">第三章 投标文件格式</w:t>
      </w:r>
      <w:bookmarkEnd w:id="10"/>
      <w:r/>
      <w:bookmarkEnd w:id="11"/>
      <w:r/>
      <w:bookmarkEnd w:id="22"/>
      <w:r/>
      <w:bookmarkEnd w:id="23"/>
      <w:r/>
      <w:r/>
    </w:p>
    <w:p>
      <w:pPr>
        <w:pStyle w:val="738"/>
        <w:ind w:firstLine="0"/>
        <w:jc w:val="both"/>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738"/>
        <w:ind w:firstLine="0"/>
        <w:jc w:val="both"/>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说明：</w:t>
      </w:r>
      <w:r/>
    </w:p>
    <w:p>
      <w:pPr>
        <w:pStyle w:val="738"/>
        <w:ind w:firstLine="422"/>
        <w:jc w:val="both"/>
        <w:spacing w:line="360" w:lineRule="auto"/>
        <w:shd w:val="clear" w:color="auto"/>
        <w:rPr>
          <w:rFonts w:hint="eastAsia" w:asciiTheme="minorEastAsia" w:hAnsiTheme="minorEastAsia" w:eastAsiaTheme="minorEastAsia" w:cstheme="minorEastAsia"/>
          <w:b/>
          <w:color w:val="auto"/>
          <w:sz w:val="21"/>
          <w:szCs w:val="21"/>
          <w:highlight w:val="none"/>
        </w:rPr>
      </w:pPr>
      <w:r/>
      <w:bookmarkStart w:id="24" w:name="_Toc142194266"/>
      <w:r>
        <w:rPr>
          <w:rFonts w:hint="eastAsia" w:asciiTheme="minorEastAsia" w:hAnsiTheme="minorEastAsia" w:eastAsiaTheme="minorEastAsia" w:cstheme="minorEastAsia"/>
          <w:b/>
          <w:color w:val="auto"/>
          <w:sz w:val="21"/>
          <w:szCs w:val="21"/>
          <w:highlight w:val="none"/>
        </w:rPr>
        <w:t xml:space="preserve">对本章所有的投标书格式 ，投标方可根据自身情况进行补充和修改，但补充和修改不得造成与本格式内容有实质性的违背。</w:t>
      </w:r>
      <w:r/>
    </w:p>
    <w:p>
      <w:pPr>
        <w:pStyle w:val="756"/>
        <w:jc w:val="left"/>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bookmarkStart w:id="25" w:name="_Toc492394290"/>
      <w:r>
        <w:rPr>
          <w:rFonts w:hint="eastAsia" w:asciiTheme="minorEastAsia" w:hAnsiTheme="minorEastAsia" w:eastAsiaTheme="minorEastAsia" w:cstheme="minorEastAsia"/>
          <w:b/>
          <w:color w:val="auto"/>
          <w:sz w:val="21"/>
          <w:szCs w:val="21"/>
          <w:highlight w:val="none"/>
        </w:rPr>
        <w:t xml:space="preserve">一、投标函</w:t>
      </w:r>
      <w:bookmarkEnd w:id="24"/>
      <w:r/>
      <w:bookmarkEnd w:id="25"/>
      <w:r/>
      <w:r/>
    </w:p>
    <w:p>
      <w:pPr>
        <w:pStyle w:val="756"/>
        <w:jc w:val="center"/>
        <w:spacing w:line="360" w:lineRule="auto"/>
        <w:shd w:val="clear" w:color="auto"/>
        <w:rPr>
          <w:rFonts w:hint="eastAsia" w:asciiTheme="minorEastAsia" w:hAnsiTheme="minorEastAsia" w:eastAsiaTheme="minorEastAsia" w:cstheme="minorEastAsia"/>
          <w:b/>
          <w:color w:val="auto"/>
          <w:szCs w:val="28"/>
          <w:highlight w:val="none"/>
        </w:rPr>
      </w:pPr>
      <w:r>
        <w:rPr>
          <w:rFonts w:hint="eastAsia" w:asciiTheme="minorEastAsia" w:hAnsiTheme="minorEastAsia" w:eastAsiaTheme="minorEastAsia" w:cstheme="minorEastAsia"/>
          <w:b/>
          <w:color w:val="auto"/>
          <w:szCs w:val="28"/>
          <w:highlight w:val="none"/>
        </w:rPr>
        <w:t xml:space="preserve">投标函</w:t>
      </w:r>
      <w:r/>
    </w:p>
    <w:p>
      <w:pPr>
        <w:pStyle w:val="756"/>
        <w:ind w:firstLine="105"/>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eastAsia="zh-CN"/>
        </w:rPr>
        <w:t xml:space="preserve">江苏沃咨咨询管理有限公司</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pStyle w:val="756"/>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我们收到贵公司</w:t>
      </w:r>
      <w:r>
        <w:rPr>
          <w:rFonts w:hint="eastAsia" w:asciiTheme="minorEastAsia" w:hAnsiTheme="minorEastAsia" w:eastAsiaTheme="minorEastAsia" w:cstheme="minorEastAsia"/>
          <w:b/>
          <w:color w:val="auto"/>
          <w:sz w:val="21"/>
          <w:szCs w:val="21"/>
          <w:highlight w:val="none"/>
          <w:u w:val="single"/>
          <w:lang w:eastAsia="zh-CN"/>
        </w:rPr>
        <w:t xml:space="preserve">JSZC-320507-JSWZ-G2025-0025</w:t>
      </w:r>
      <w:r>
        <w:rPr>
          <w:rFonts w:hint="eastAsia" w:asciiTheme="minorEastAsia" w:hAnsiTheme="minorEastAsia" w:eastAsiaTheme="minorEastAsia" w:cstheme="minorEastAsia"/>
          <w:color w:val="auto"/>
          <w:sz w:val="21"/>
          <w:szCs w:val="21"/>
          <w:highlight w:val="none"/>
        </w:rPr>
        <w:t xml:space="preserve">号招标文件，经仔细阅读和研究，我们决定参加投标。</w:t>
      </w:r>
      <w:r/>
    </w:p>
    <w:p>
      <w:pPr>
        <w:pStyle w:val="756"/>
        <w:numPr>
          <w:ilvl w:val="0"/>
          <w:numId w:val="3"/>
        </w:num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我们愿意按照招标文件的一切要求，提供包括完成该项目所需的全部内容</w:t>
      </w:r>
      <w:r>
        <w:rPr>
          <w:rFonts w:hint="eastAsia" w:asciiTheme="minorEastAsia" w:hAnsiTheme="minorEastAsia" w:eastAsiaTheme="minorEastAsia" w:cstheme="minorEastAsia"/>
          <w:color w:val="auto"/>
          <w:sz w:val="21"/>
          <w:szCs w:val="21"/>
          <w:highlight w:val="none"/>
          <w:lang w:eastAsia="zh-CN"/>
        </w:rPr>
        <w:t xml:space="preserve">。</w:t>
      </w:r>
      <w:r/>
    </w:p>
    <w:p>
      <w:pPr>
        <w:pStyle w:val="756"/>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2、如果我们的投标文件被接受，我们将严格履行招标文件中规定的每一项要求，按期、按质、按量履行合同的义务。</w:t>
      </w:r>
      <w:r/>
    </w:p>
    <w:p>
      <w:pPr>
        <w:pStyle w:val="756"/>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3、我们已详细审查全部招标文件，包括更正公告（如有）。我们完全理解并同意放弃对这方面有不明及误解的权力。</w:t>
      </w:r>
      <w:r/>
    </w:p>
    <w:p>
      <w:pPr>
        <w:pStyle w:val="756"/>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4、我们同意按招标文件中的规定，本投标文件的有效期限为投标截止之日起60日内。</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我们愿意提供招标代理机构在招标文件中要求的所有资料。也同意向招标代理机构提供招标代理机构可能另外要求的与投标有关的任何证据或资料。并保证所提供的资料全部是真实的、有效的，若有虚假，我们愿承担一切责任。</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6、我们声明：我们在参加本次政府采购活动前三年内在经营活动中没有重大违法记录。</w:t>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7、我们愿意遵守招标公告及招标文件中所列的收费标准。</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8、我们承诺该项投标在开标后的全过程中保持有效，不作任何更改和变动。我们同意中标后若不履行投标文件的内容要求和各项承诺及义务的即被视为违约，其中标资格将被取消，并接受相应的处罚。</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9、如果我们中标，我们愿意按招标文件的规定支付代理服务费，逾期按中国人民银行公布的同期人民币贷款最高利率计付利息；</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10、我们承诺我公司符合招标文件投标人须知中“合格投标人的资格条件”的要求，若与真实情况不符，本公司愿意承担由此而产生的一切后果。</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11、综合说明：</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（1）伴随服务及配合措施；（2）要求甲方提供的配合；（3）对招标文件有不同意见的偏离说明；（4）其它说明。</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所有有关标书的函电，请按下列地址联系：</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单    位：                    联 系 人：</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地    址：                    邮政编码：</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联系电话：                    传    真：</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单位法定代表人或代理人：（签字或盖章）          </w:t>
      </w:r>
      <w:r/>
    </w:p>
    <w:p>
      <w:pPr>
        <w:pStyle w:val="757"/>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shd w:val="clear" w:color="auto"/>
        <w:rPr>
          <w:rFonts w:hint="eastAsia" w:asciiTheme="minorEastAsia" w:hAnsiTheme="minorEastAsia" w:eastAsiaTheme="minorEastAsia" w:cstheme="minorEastAsia"/>
          <w:b/>
          <w:color w:val="auto"/>
          <w:sz w:val="21"/>
          <w:szCs w:val="21"/>
          <w:highlight w:val="none"/>
        </w:rPr>
      </w:pPr>
      <w:r/>
      <w:bookmarkStart w:id="26" w:name="_Toc142194267"/>
      <w:r/>
      <w:bookmarkStart w:id="27" w:name="_Toc492394291"/>
      <w:r>
        <w:rPr>
          <w:rFonts w:hint="eastAsia" w:asciiTheme="minorEastAsia" w:hAnsiTheme="minorEastAsia" w:eastAsiaTheme="minorEastAsia" w:cstheme="minorEastAsia"/>
          <w:b/>
          <w:color w:val="auto"/>
          <w:sz w:val="21"/>
          <w:szCs w:val="21"/>
          <w:highlight w:val="none"/>
        </w:rPr>
        <w:br w:type="page" w:clear="all"/>
      </w:r>
      <w:r/>
    </w:p>
    <w:p>
      <w:pPr>
        <w:pStyle w:val="756"/>
        <w:jc w:val="left"/>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二、</w:t>
      </w:r>
      <w:bookmarkEnd w:id="26"/>
      <w:r>
        <w:rPr>
          <w:rFonts w:hint="eastAsia" w:asciiTheme="minorEastAsia" w:hAnsiTheme="minorEastAsia" w:eastAsiaTheme="minorEastAsia" w:cstheme="minorEastAsia"/>
          <w:b/>
          <w:color w:val="auto"/>
          <w:sz w:val="21"/>
          <w:szCs w:val="21"/>
          <w:highlight w:val="none"/>
        </w:rPr>
        <w:t xml:space="preserve">（投标人）法定代表人授权委托书</w:t>
      </w:r>
      <w:bookmarkEnd w:id="27"/>
      <w:r/>
      <w:r/>
    </w:p>
    <w:p>
      <w:pPr>
        <w:pStyle w:val="738"/>
        <w:ind w:firstLine="0"/>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38"/>
        <w:ind w:firstLine="0"/>
        <w:jc w:val="center"/>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法定代表人授权委托书</w:t>
      </w:r>
      <w:r/>
    </w:p>
    <w:p>
      <w:pPr>
        <w:pStyle w:val="738"/>
        <w:ind w:firstLine="0"/>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本授权委托书声明：我（姓名）系（投标人名称）的法定代表人，现授权委托（单位名称）的（姓名）为我公司代理人，以本公司的名义参加</w:t>
      </w:r>
      <w:r>
        <w:rPr>
          <w:rFonts w:hint="eastAsia" w:asciiTheme="minorEastAsia" w:hAnsiTheme="minorEastAsia" w:eastAsiaTheme="minorEastAsia" w:cstheme="minorEastAsia"/>
          <w:color w:val="auto"/>
          <w:sz w:val="21"/>
          <w:szCs w:val="21"/>
          <w:highlight w:val="none"/>
          <w:lang w:eastAsia="zh-CN"/>
        </w:rPr>
        <w:t xml:space="preserve">江苏沃咨咨询管理有限公司</w:t>
      </w:r>
      <w:r>
        <w:rPr>
          <w:rFonts w:hint="eastAsia" w:asciiTheme="minorEastAsia" w:hAnsiTheme="minorEastAsia" w:eastAsiaTheme="minorEastAsia" w:cstheme="minorEastAsia"/>
          <w:color w:val="auto"/>
          <w:sz w:val="21"/>
          <w:szCs w:val="21"/>
          <w:highlight w:val="none"/>
        </w:rPr>
        <w:t xml:space="preserve">组织实施的编号为</w:t>
      </w:r>
      <w:r>
        <w:rPr>
          <w:rFonts w:hint="eastAsia" w:asciiTheme="minorEastAsia" w:hAnsiTheme="minorEastAsia" w:eastAsiaTheme="minorEastAsia" w:cstheme="minorEastAsia"/>
          <w:b/>
          <w:color w:val="auto"/>
          <w:sz w:val="21"/>
          <w:szCs w:val="21"/>
          <w:highlight w:val="none"/>
          <w:u w:val="single"/>
          <w:lang w:eastAsia="zh-CN"/>
        </w:rPr>
        <w:t xml:space="preserve">JSZC-320507-JSWZ-G2025-0025</w:t>
      </w:r>
      <w:r>
        <w:rPr>
          <w:rFonts w:hint="eastAsia" w:asciiTheme="minorEastAsia" w:hAnsiTheme="minorEastAsia" w:eastAsiaTheme="minorEastAsia" w:cstheme="minorEastAsia"/>
          <w:color w:val="auto"/>
          <w:sz w:val="21"/>
          <w:szCs w:val="21"/>
          <w:highlight w:val="none"/>
        </w:rPr>
        <w:t xml:space="preserve">号的招标活动。代理人在开标、评标、合同谈判过程中所签署的一切文件和处理与这有关的一切事务，我均予以承认。</w:t>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代理人无转委托权。特此委托。</w:t>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法定代表人：（签字或盖章）</w:t>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bookmarkStart w:id="28" w:name="_Toc142194268"/>
      <w:r/>
      <w:r/>
    </w:p>
    <w:p>
      <w:pPr>
        <w:pStyle w:val="756"/>
        <w:jc w:val="left"/>
        <w:spacing w:line="360" w:lineRule="auto"/>
        <w:shd w:val="clear" w:color="auto"/>
        <w:rPr>
          <w:rFonts w:hint="eastAsia" w:asciiTheme="minorEastAsia" w:hAnsiTheme="minorEastAsia" w:eastAsiaTheme="minorEastAsia" w:cstheme="minorEastAsia"/>
          <w:b/>
          <w:color w:val="auto"/>
          <w:sz w:val="21"/>
          <w:szCs w:val="21"/>
          <w:highlight w:val="none"/>
          <w:lang w:val="en-US" w:eastAsia="zh-CN" w:bidi="ar-SA"/>
        </w:rPr>
      </w:pPr>
      <w:r>
        <w:rPr>
          <w:rFonts w:hint="eastAsia" w:asciiTheme="minorEastAsia" w:hAnsiTheme="minorEastAsia" w:eastAsiaTheme="minorEastAsia" w:cstheme="minorEastAsia"/>
          <w:b/>
          <w:color w:val="auto"/>
          <w:sz w:val="21"/>
          <w:szCs w:val="21"/>
          <w:highlight w:val="none"/>
        </w:rPr>
        <w:br w:type="page" w:clear="all"/>
      </w:r>
      <w:bookmarkStart w:id="29" w:name="_Toc492394292"/>
      <w:r>
        <w:rPr>
          <w:rFonts w:hint="eastAsia" w:asciiTheme="minorEastAsia" w:hAnsiTheme="minorEastAsia" w:eastAsiaTheme="minorEastAsia" w:cstheme="minorEastAsia"/>
          <w:b/>
          <w:color w:val="auto"/>
          <w:sz w:val="21"/>
          <w:szCs w:val="21"/>
          <w:highlight w:val="none"/>
          <w:lang w:val="en-US" w:eastAsia="zh-CN" w:bidi="ar-SA"/>
        </w:rPr>
        <w:t xml:space="preserve">三、</w:t>
      </w:r>
      <w:bookmarkEnd w:id="28"/>
      <w:r/>
      <w:bookmarkEnd w:id="29"/>
      <w:r>
        <w:rPr>
          <w:rFonts w:hint="eastAsia" w:asciiTheme="minorEastAsia" w:hAnsiTheme="minorEastAsia" w:eastAsiaTheme="minorEastAsia" w:cstheme="minorEastAsia"/>
          <w:b/>
          <w:color w:val="auto"/>
          <w:sz w:val="21"/>
          <w:szCs w:val="21"/>
          <w:highlight w:val="none"/>
          <w:lang w:val="en-US" w:eastAsia="zh-CN" w:bidi="ar-SA"/>
        </w:rPr>
        <w:t xml:space="preserve">开标一览表</w:t>
      </w:r>
      <w:r/>
    </w:p>
    <w:p>
      <w:pPr>
        <w:jc w:val="center"/>
        <w:shd w:val="clear" w:color="auto"/>
        <w:rPr>
          <w:rFonts w:hint="eastAsia" w:asciiTheme="minorEastAsia" w:hAnsiTheme="minorEastAsia" w:eastAsiaTheme="minorEastAsia" w:cstheme="minorEastAsia"/>
          <w:b/>
          <w:color w:val="auto"/>
          <w:sz w:val="32"/>
          <w:szCs w:val="32"/>
          <w:highlight w:val="none"/>
        </w:rPr>
      </w:pPr>
      <w:r/>
      <w:bookmarkStart w:id="30" w:name="_Toc142194270"/>
      <w:r>
        <w:rPr>
          <w:rFonts w:hint="eastAsia" w:asciiTheme="minorEastAsia" w:hAnsiTheme="minorEastAsia" w:eastAsiaTheme="minorEastAsia" w:cstheme="minorEastAsia"/>
          <w:b/>
          <w:color w:val="auto"/>
          <w:sz w:val="32"/>
          <w:szCs w:val="32"/>
          <w:highlight w:val="none"/>
          <w:lang w:val="zh-CN"/>
        </w:rPr>
        <w:t xml:space="preserve">开标一览表</w:t>
      </w:r>
      <w:r/>
    </w:p>
    <w:p>
      <w:pPr>
        <w:ind w:firstLine="359"/>
        <w:shd w:val="clear" w:color="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pStyle w:val="756"/>
        <w:ind w:firstLine="0"/>
        <w:spacing w:line="480" w:lineRule="auto"/>
        <w:shd w:val="clear" w:color="auto"/>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rPr>
        <w:t xml:space="preserve">招标编号：</w:t>
      </w:r>
      <w:r>
        <w:rPr>
          <w:rFonts w:hint="eastAsia" w:asciiTheme="minorEastAsia" w:hAnsiTheme="minorEastAsia" w:eastAsiaTheme="minorEastAsia" w:cstheme="minorEastAsia"/>
          <w:color w:val="auto"/>
          <w:sz w:val="21"/>
          <w:szCs w:val="21"/>
          <w:highlight w:val="none"/>
          <w:lang w:eastAsia="zh-CN"/>
        </w:rPr>
        <w:t xml:space="preserve">JSZC-320507-JSWZ-G2025-0025</w:t>
      </w:r>
      <w:r/>
    </w:p>
    <w:tbl>
      <w:tblPr>
        <w:tblStyle w:val="736"/>
        <w:tblW w:w="922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013"/>
        <w:gridCol w:w="2977"/>
        <w:gridCol w:w="2268"/>
        <w:gridCol w:w="1843"/>
        <w:gridCol w:w="1119"/>
      </w:tblGrid>
      <w:tr>
        <w:trPr>
          <w:jc w:val="center"/>
          <w:trHeight w:val="605"/>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投标报价（元）</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交货</w:t>
            </w:r>
            <w:r>
              <w:rPr>
                <w:rFonts w:hint="eastAsia" w:asciiTheme="minorEastAsia" w:hAnsiTheme="minorEastAsia" w:eastAsiaTheme="minorEastAsia" w:cstheme="minorEastAsia"/>
                <w:color w:val="auto"/>
                <w:sz w:val="21"/>
                <w:szCs w:val="21"/>
                <w:highlight w:val="none"/>
              </w:rPr>
              <w:t xml:space="preserve">期限</w:t>
            </w:r>
            <w:r/>
          </w:p>
        </w:tc>
        <w:tc>
          <w:tcPr>
            <w:tcBorders>
              <w:top w:val="single" w:color="auto" w:sz="4" w:space="0"/>
              <w:left w:val="none" w:color="000000" w:sz="4" w:space="0"/>
              <w:bottom w:val="single" w:color="auto" w:sz="4" w:space="0"/>
              <w:right w:val="single" w:color="auto" w:sz="4" w:space="0"/>
            </w:tcBorders>
            <w:tcW w:w="1119" w:type="dxa"/>
            <w:vAlign w:val="center"/>
            <w:textDirection w:val="lrTb"/>
            <w:noWrap w:val="false"/>
          </w:tcPr>
          <w:p>
            <w:pPr>
              <w:jc w:val="center"/>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w:t>
            </w:r>
            <w:r/>
          </w:p>
        </w:tc>
      </w:tr>
      <w:tr>
        <w:trPr>
          <w:jc w:val="center"/>
          <w:trHeight w:val="771"/>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shd w:val="clear" w:color="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相城区澄阳片区交管技防设施提升项目</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19" w:type="dxa"/>
            <w:vAlign w:val="center"/>
            <w:textDirection w:val="lrTb"/>
            <w:noWrap w:val="false"/>
          </w:tcPr>
          <w:p>
            <w:pPr>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771"/>
        </w:trPr>
        <w:tc>
          <w:tcPr>
            <w:gridSpan w:val="5"/>
            <w:tcBorders>
              <w:top w:val="single" w:color="auto" w:sz="4" w:space="0"/>
              <w:left w:val="single" w:color="auto" w:sz="4" w:space="0"/>
              <w:bottom w:val="single" w:color="auto" w:sz="4" w:space="0"/>
              <w:right w:val="single" w:color="auto" w:sz="4" w:space="0"/>
            </w:tcBorders>
            <w:tcW w:w="9220" w:type="dxa"/>
            <w:vAlign w:val="center"/>
            <w:textDirection w:val="lrTb"/>
            <w:noWrap w:val="false"/>
          </w:tcPr>
          <w:p>
            <w:pPr>
              <w:shd w:val="clear" w:color="auto"/>
              <w:tabs>
                <w:tab w:val="left" w:pos="1845"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投标总报价：人民币（大写）                  </w:t>
            </w:r>
            <w:r/>
          </w:p>
        </w:tc>
      </w:tr>
    </w:tbl>
    <w:p>
      <w:pPr>
        <w:ind w:firstLine="359"/>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359"/>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法定代表人或其授权委托人：（签字或盖章）                   </w:t>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日期：年  月  日</w:t>
      </w:r>
      <w:r/>
    </w:p>
    <w:p>
      <w:pPr>
        <w:pStyle w:val="738"/>
        <w:ind w:firstLine="422"/>
        <w:jc w:val="both"/>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left"/>
        <w:shd w:val="clear" w:color="auto"/>
        <w:rPr>
          <w:rFonts w:hint="eastAsia" w:asciiTheme="minorEastAsia" w:hAnsiTheme="minorEastAsia" w:eastAsiaTheme="minorEastAsia" w:cstheme="minorEastAsia"/>
          <w:b/>
          <w:color w:val="auto"/>
          <w:sz w:val="32"/>
          <w:szCs w:val="32"/>
          <w:highlight w:val="none"/>
          <w:lang w:val="zh-CN"/>
        </w:rPr>
      </w:pPr>
      <w:r>
        <w:rPr>
          <w:rFonts w:hint="eastAsia" w:asciiTheme="minorEastAsia" w:hAnsiTheme="minorEastAsia" w:eastAsiaTheme="minorEastAsia" w:cstheme="minorEastAsia"/>
          <w:b/>
          <w:color w:val="auto"/>
          <w:sz w:val="32"/>
          <w:szCs w:val="32"/>
          <w:highlight w:val="none"/>
          <w:lang w:val="zh-CN"/>
        </w:rPr>
        <w:br w:type="page" w:clear="all"/>
      </w:r>
      <w:r/>
    </w:p>
    <w:p>
      <w:pPr>
        <w:jc w:val="center"/>
        <w:spacing w:line="360" w:lineRule="auto"/>
        <w:shd w:val="clear" w:color="auto"/>
        <w:rPr>
          <w:rFonts w:ascii="宋体" w:hAnsi="宋体" w:eastAsia="宋体"/>
          <w:b/>
          <w:bCs/>
          <w:sz w:val="24"/>
          <w:szCs w:val="24"/>
          <w:highlight w:val="none"/>
        </w:rPr>
      </w:pPr>
      <w:r>
        <w:rPr>
          <w:rFonts w:hint="eastAsia" w:ascii="宋体" w:hAnsi="宋体" w:eastAsia="宋体"/>
          <w:b/>
          <w:bCs/>
          <w:sz w:val="24"/>
          <w:szCs w:val="24"/>
          <w:highlight w:val="none"/>
        </w:rPr>
        <w:t xml:space="preserve">投标报价明细表</w:t>
      </w:r>
      <w:r/>
    </w:p>
    <w:p>
      <w:pPr>
        <w:jc w:val="left"/>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招标编号：       </w:t>
      </w:r>
      <w:r/>
    </w:p>
    <w:p>
      <w:pPr>
        <w:jc w:val="left"/>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项目名称：</w:t>
      </w:r>
      <w:r/>
    </w:p>
    <w:tbl>
      <w:tblPr>
        <w:tblStyle w:val="736"/>
        <w:tblW w:w="8718" w:type="dxa"/>
        <w:jc w:val="center"/>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6"/>
        <w:gridCol w:w="1413"/>
        <w:gridCol w:w="1355"/>
        <w:gridCol w:w="1252"/>
        <w:gridCol w:w="720"/>
        <w:gridCol w:w="729"/>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936"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t xml:space="preserve">生产厂家</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936"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936"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936"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936"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936"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936"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936"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hd w:val="clear" w:color="auto"/>
              <w:rPr>
                <w:rFonts w:ascii="宋体" w:hAnsi="宋体" w:eastAsia="宋体"/>
                <w:bCs/>
                <w:sz w:val="21"/>
                <w:szCs w:val="21"/>
                <w:highlight w:val="none"/>
              </w:rPr>
            </w:pPr>
            <w:r>
              <w:rPr>
                <w:rFonts w:ascii="宋体" w:hAnsi="宋体" w:eastAsia="宋体"/>
                <w:bCs/>
                <w:sz w:val="21"/>
                <w:szCs w:val="21"/>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349" w:type="dxa"/>
            <w:vAlign w:val="center"/>
            <w:textDirection w:val="lrTb"/>
            <w:noWrap w:val="false"/>
          </w:tcPr>
          <w:p>
            <w:pPr>
              <w:shd w:val="clear" w:color="auto"/>
              <w:rPr>
                <w:rFonts w:ascii="宋体" w:hAnsi="宋体" w:eastAsia="宋体"/>
                <w:bCs/>
                <w:sz w:val="21"/>
                <w:szCs w:val="21"/>
                <w:highlight w:val="none"/>
              </w:rPr>
            </w:pPr>
            <w:r>
              <w:rPr>
                <w:rFonts w:ascii="宋体" w:hAnsi="宋体" w:eastAsia="宋体"/>
                <w:bCs/>
                <w:sz w:val="21"/>
                <w:szCs w:val="21"/>
                <w:highlight w:val="none"/>
              </w:rPr>
              <w:t xml:space="preserve">投标总报价：</w:t>
            </w:r>
            <w:r/>
          </w:p>
        </w:tc>
        <w:tc>
          <w:tcPr>
            <w:gridSpan w:val="7"/>
            <w:tcBorders>
              <w:top w:val="single" w:color="auto" w:sz="6" w:space="0"/>
              <w:left w:val="single" w:color="auto" w:sz="6" w:space="0"/>
              <w:bottom w:val="single" w:color="auto" w:sz="6" w:space="0"/>
              <w:right w:val="single" w:color="auto" w:sz="6" w:space="0"/>
            </w:tcBorders>
            <w:tcW w:w="6369" w:type="dxa"/>
            <w:vAlign w:val="center"/>
            <w:textDirection w:val="lrTb"/>
            <w:noWrap w:val="false"/>
          </w:tcPr>
          <w:p>
            <w:pPr>
              <w:shd w:val="clear" w:color="auto"/>
              <w:rPr>
                <w:rFonts w:ascii="宋体" w:hAnsi="宋体" w:eastAsia="宋体"/>
                <w:bCs/>
                <w:sz w:val="21"/>
                <w:szCs w:val="21"/>
                <w:highlight w:val="none"/>
              </w:rPr>
            </w:pPr>
            <w:r>
              <w:rPr>
                <w:rFonts w:ascii="宋体" w:hAnsi="宋体" w:eastAsia="宋体"/>
                <w:bCs/>
                <w:sz w:val="21"/>
                <w:szCs w:val="21"/>
                <w:highlight w:val="none"/>
              </w:rPr>
              <w:t xml:space="preserve">大写：                                          元</w:t>
            </w:r>
            <w:r/>
          </w:p>
        </w:tc>
      </w:tr>
      <w:tr>
        <w:trPr>
          <w:jc w:val="center"/>
          <w:trHeight w:val="561"/>
        </w:trPr>
        <w:tc>
          <w:tcPr>
            <w:gridSpan w:val="9"/>
            <w:tcBorders>
              <w:top w:val="single" w:color="auto" w:sz="6" w:space="0"/>
              <w:left w:val="single" w:color="auto" w:sz="6" w:space="0"/>
              <w:bottom w:val="single" w:color="auto" w:sz="6" w:space="0"/>
              <w:right w:val="single" w:color="auto" w:sz="6" w:space="0"/>
            </w:tcBorders>
            <w:tcW w:w="8718" w:type="dxa"/>
            <w:vAlign w:val="center"/>
            <w:textDirection w:val="lrTb"/>
            <w:noWrap w:val="false"/>
          </w:tcPr>
          <w:p>
            <w:pPr>
              <w:shd w:val="clear" w:color="auto"/>
              <w:rPr>
                <w:rFonts w:ascii="宋体" w:hAnsi="宋体" w:eastAsia="宋体"/>
                <w:bCs/>
                <w:sz w:val="21"/>
                <w:szCs w:val="21"/>
                <w:highlight w:val="none"/>
              </w:rPr>
            </w:pPr>
            <w:r>
              <w:rPr>
                <w:rFonts w:ascii="宋体" w:hAnsi="宋体" w:eastAsia="宋体"/>
                <w:bCs/>
                <w:sz w:val="21"/>
                <w:szCs w:val="21"/>
                <w:highlight w:val="none"/>
              </w:rPr>
              <w:t xml:space="preserve">交货时间：</w:t>
            </w:r>
            <w:r/>
          </w:p>
        </w:tc>
      </w:tr>
    </w:tbl>
    <w:p>
      <w:pPr>
        <w:spacing w:line="360" w:lineRule="auto"/>
        <w:shd w:val="clear" w:color="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注：投标报价明细表须包括详细的费用组成、制作部分完整的清单报价。投标单位可针对本项目实际情况自行调整报价表格式。本投标报价分析表的“投标总价”应与“开标一览表”投标总报价一致</w:t>
      </w:r>
      <w:r>
        <w:rPr>
          <w:rFonts w:hint="eastAsia" w:ascii="宋体" w:hAnsi="宋体" w:eastAsia="宋体"/>
          <w:sz w:val="21"/>
          <w:szCs w:val="21"/>
          <w:highlight w:val="none"/>
          <w:lang w:eastAsia="zh-CN"/>
        </w:rPr>
        <w:t xml:space="preserve">。</w:t>
      </w:r>
      <w:r/>
    </w:p>
    <w:p>
      <w:pPr>
        <w:jc w:val="left"/>
        <w:shd w:val="clear" w:color="auto"/>
        <w:widowControl/>
        <w:rPr>
          <w:rFonts w:ascii="宋体" w:hAnsi="宋体" w:eastAsia="宋体"/>
          <w:sz w:val="21"/>
          <w:szCs w:val="21"/>
          <w:highlight w:val="none"/>
        </w:rPr>
      </w:pPr>
      <w:r>
        <w:rPr>
          <w:rFonts w:ascii="宋体" w:hAnsi="宋体" w:eastAsia="宋体"/>
          <w:sz w:val="21"/>
          <w:szCs w:val="21"/>
          <w:highlight w:val="none"/>
        </w:rPr>
      </w:r>
      <w:r/>
    </w:p>
    <w:p>
      <w:pPr>
        <w:pStyle w:val="756"/>
        <w:ind w:firstLine="480"/>
        <w:spacing w:line="360" w:lineRule="auto"/>
        <w:shd w:val="clear" w:color="auto"/>
        <w:rPr>
          <w:rFonts w:hAnsi="宋体" w:eastAsia="宋体"/>
          <w:sz w:val="21"/>
          <w:szCs w:val="21"/>
          <w:highlight w:val="none"/>
        </w:rPr>
      </w:pPr>
      <w:r>
        <w:rPr>
          <w:rFonts w:hint="eastAsia" w:hAnsi="宋体" w:eastAsia="宋体"/>
          <w:sz w:val="21"/>
          <w:szCs w:val="21"/>
          <w:highlight w:val="none"/>
        </w:rPr>
        <w:t xml:space="preserve">投标单位：（盖章）</w:t>
      </w:r>
      <w:r/>
    </w:p>
    <w:p>
      <w:pPr>
        <w:pStyle w:val="756"/>
        <w:ind w:firstLine="480"/>
        <w:spacing w:line="360" w:lineRule="auto"/>
        <w:shd w:val="clear" w:color="auto"/>
        <w:rPr>
          <w:rFonts w:hAnsi="宋体" w:eastAsia="宋体"/>
          <w:sz w:val="21"/>
          <w:szCs w:val="21"/>
          <w:highlight w:val="none"/>
        </w:rPr>
      </w:pPr>
      <w:r>
        <w:rPr>
          <w:rFonts w:hint="eastAsia" w:hAnsi="宋体" w:eastAsia="宋体"/>
          <w:sz w:val="21"/>
          <w:szCs w:val="21"/>
          <w:highlight w:val="none"/>
        </w:rPr>
        <w:t xml:space="preserve">法定代表人或代理人：（签字或盖章）</w:t>
      </w:r>
      <w:r/>
    </w:p>
    <w:p>
      <w:pPr>
        <w:pStyle w:val="756"/>
        <w:ind w:firstLine="480"/>
        <w:spacing w:line="360" w:lineRule="auto"/>
        <w:shd w:val="clear" w:color="auto"/>
        <w:rPr>
          <w:rFonts w:hAnsi="宋体" w:eastAsia="宋体"/>
          <w:b/>
          <w:sz w:val="21"/>
          <w:szCs w:val="21"/>
          <w:highlight w:val="none"/>
        </w:rPr>
      </w:pPr>
      <w:r>
        <w:rPr>
          <w:rFonts w:hint="eastAsia" w:hAnsi="宋体" w:eastAsia="宋体"/>
          <w:sz w:val="21"/>
          <w:szCs w:val="21"/>
          <w:highlight w:val="none"/>
        </w:rPr>
        <w:t xml:space="preserve">日期：        年   月   日</w:t>
      </w:r>
      <w:r/>
    </w:p>
    <w:p>
      <w:pPr>
        <w:pStyle w:val="738"/>
        <w:ind w:firstLine="569"/>
        <w:jc w:val="both"/>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bookmarkStart w:id="31" w:name="_Toc492394294"/>
      <w:r/>
      <w:r/>
    </w:p>
    <w:p>
      <w:pPr>
        <w:jc w:val="left"/>
        <w:spacing w:line="360" w:lineRule="auto"/>
        <w:shd w:val="clear" w:color="auto"/>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 xml:space="preserve">四、所投货物和服务数量、品牌型号、技术要求、设备质量要求、交货期</w:t>
      </w:r>
      <w:r/>
    </w:p>
    <w:p>
      <w:pPr>
        <w:spacing w:line="360" w:lineRule="auto"/>
        <w:shd w:val="clear" w:color="auto"/>
        <w:rPr>
          <w:rFonts w:ascii="宋体" w:hAnsi="宋体" w:eastAsia="宋体"/>
          <w:b/>
          <w:bCs/>
          <w:sz w:val="21"/>
          <w:szCs w:val="21"/>
          <w:highlight w:val="none"/>
        </w:rPr>
      </w:pPr>
      <w:r>
        <w:rPr>
          <w:rFonts w:ascii="宋体" w:hAnsi="宋体" w:eastAsia="宋体"/>
          <w:b/>
          <w:bCs/>
          <w:sz w:val="21"/>
          <w:szCs w:val="21"/>
          <w:highlight w:val="none"/>
        </w:rPr>
      </w:r>
      <w:r/>
    </w:p>
    <w:p>
      <w:pP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p>
      <w:pPr>
        <w:ind w:firstLine="720"/>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所投货物和服务数量、品牌型号、技术要求、设备质量要求、交货期</w:t>
      </w:r>
      <w:r/>
    </w:p>
    <w:tbl>
      <w:tblPr>
        <w:tblStyle w:val="736"/>
        <w:tblW w:w="8238"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67"/>
        <w:gridCol w:w="1417"/>
        <w:gridCol w:w="2579"/>
        <w:gridCol w:w="814"/>
        <w:gridCol w:w="1559"/>
        <w:gridCol w:w="1002"/>
      </w:tblGrid>
      <w:tr>
        <w:trPr>
          <w:cantSplit/>
          <w:jc w:val="center"/>
          <w:trHeight w:val="543"/>
        </w:trPr>
        <w:tc>
          <w:tcPr>
            <w:tcW w:w="867"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W w:w="1417"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标的物名称</w:t>
            </w:r>
            <w:r/>
          </w:p>
        </w:tc>
        <w:tc>
          <w:tcPr>
            <w:tcBorders>
              <w:bottom w:val="single" w:color="auto" w:sz="4" w:space="0"/>
              <w:right w:val="single" w:color="auto" w:sz="4" w:space="0"/>
            </w:tcBorders>
            <w:tcW w:w="2579"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品牌、规格型号</w:t>
            </w:r>
            <w:r/>
          </w:p>
        </w:tc>
        <w:tc>
          <w:tcPr>
            <w:tcBorders>
              <w:left w:val="single" w:color="auto" w:sz="4" w:space="0"/>
            </w:tcBorders>
            <w:tcW w:w="814"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数量</w:t>
            </w:r>
            <w:r/>
          </w:p>
        </w:tc>
        <w:tc>
          <w:tcPr>
            <w:tcW w:w="1559"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质保期</w:t>
            </w:r>
            <w:r/>
          </w:p>
        </w:tc>
        <w:tc>
          <w:tcPr>
            <w:tcBorders>
              <w:right w:val="single" w:color="auto" w:sz="4" w:space="0"/>
            </w:tcBorders>
            <w:tcW w:w="1002"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交付期</w:t>
            </w:r>
            <w:r/>
          </w:p>
        </w:tc>
      </w:tr>
      <w:tr>
        <w:trPr>
          <w:cantSplit/>
          <w:jc w:val="center"/>
        </w:trPr>
        <w:tc>
          <w:tcPr>
            <w:tcW w:w="867"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417"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top w:val="single" w:color="auto" w:sz="4" w:space="0"/>
              <w:right w:val="single" w:color="auto" w:sz="4" w:space="0"/>
            </w:tcBorders>
            <w:tcW w:w="2579"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left w:val="single" w:color="auto" w:sz="4" w:space="0"/>
            </w:tcBorders>
            <w:tcW w:w="814"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559" w:type="dxa"/>
            <w:vAlign w:val="center"/>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right w:val="single" w:color="auto" w:sz="4" w:space="0"/>
            </w:tcBorders>
            <w:tcW w:w="1002" w:type="dxa"/>
            <w:textDirection w:val="lrTb"/>
            <w:noWrap w:val="false"/>
          </w:tcPr>
          <w:p>
            <w:pPr>
              <w:jc w:val="center"/>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 </w:t>
            </w:r>
            <w:r/>
          </w:p>
        </w:tc>
      </w:tr>
      <w:tr>
        <w:trPr>
          <w:cantSplit/>
          <w:jc w:val="center"/>
        </w:trPr>
        <w:tc>
          <w:tcPr>
            <w:tcW w:w="867"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417"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right w:val="single" w:color="auto" w:sz="4" w:space="0"/>
            </w:tcBorders>
            <w:tcW w:w="2579"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left w:val="single" w:color="auto" w:sz="4" w:space="0"/>
            </w:tcBorders>
            <w:tcW w:w="814"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559" w:type="dxa"/>
            <w:vAlign w:val="center"/>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right w:val="single" w:color="auto" w:sz="4" w:space="0"/>
            </w:tcBorders>
            <w:tcW w:w="1002"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867"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417"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right w:val="single" w:color="auto" w:sz="4" w:space="0"/>
            </w:tcBorders>
            <w:tcW w:w="2579"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left w:val="single" w:color="auto" w:sz="4" w:space="0"/>
            </w:tcBorders>
            <w:tcW w:w="814"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559" w:type="dxa"/>
            <w:vAlign w:val="center"/>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right w:val="single" w:color="auto" w:sz="4" w:space="0"/>
            </w:tcBorders>
            <w:tcW w:w="1002"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867"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417"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right w:val="single" w:color="auto" w:sz="4" w:space="0"/>
            </w:tcBorders>
            <w:tcW w:w="2579"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left w:val="single" w:color="auto" w:sz="4" w:space="0"/>
            </w:tcBorders>
            <w:tcW w:w="814"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559" w:type="dxa"/>
            <w:vAlign w:val="center"/>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right w:val="single" w:color="auto" w:sz="4" w:space="0"/>
            </w:tcBorders>
            <w:tcW w:w="1002"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867"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417"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right w:val="single" w:color="auto" w:sz="4" w:space="0"/>
            </w:tcBorders>
            <w:tcW w:w="2579"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left w:val="single" w:color="auto" w:sz="4" w:space="0"/>
            </w:tcBorders>
            <w:tcW w:w="814"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559" w:type="dxa"/>
            <w:vAlign w:val="center"/>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right w:val="single" w:color="auto" w:sz="4" w:space="0"/>
            </w:tcBorders>
            <w:tcW w:w="1002"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867"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417"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right w:val="single" w:color="auto" w:sz="4" w:space="0"/>
            </w:tcBorders>
            <w:tcW w:w="2579"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left w:val="single" w:color="auto" w:sz="4" w:space="0"/>
            </w:tcBorders>
            <w:tcW w:w="814"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559" w:type="dxa"/>
            <w:vAlign w:val="center"/>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Borders>
              <w:right w:val="single" w:color="auto" w:sz="4" w:space="0"/>
            </w:tcBorders>
            <w:tcW w:w="1002" w:type="dxa"/>
            <w:textDirection w:val="lrTb"/>
            <w:noWrap w:val="false"/>
          </w:tcPr>
          <w:p>
            <w:pPr>
              <w:jc w:val="cente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bl>
    <w:p>
      <w:pP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p>
      <w:pPr>
        <w:jc w:val="left"/>
        <w:shd w:val="clear" w:color="auto"/>
        <w:widowControl/>
        <w:rPr>
          <w:rFonts w:ascii="宋体" w:hAnsi="宋体" w:cs="宋体"/>
          <w:b/>
          <w:bCs/>
          <w:sz w:val="21"/>
          <w:szCs w:val="21"/>
          <w:highlight w:val="none"/>
        </w:rPr>
      </w:pPr>
      <w:r>
        <w:rPr>
          <w:rFonts w:ascii="宋体" w:hAnsi="宋体" w:cs="宋体"/>
          <w:b/>
          <w:bCs/>
          <w:sz w:val="21"/>
          <w:szCs w:val="21"/>
          <w:highlight w:val="none"/>
        </w:rPr>
      </w:r>
      <w:r/>
    </w:p>
    <w:p>
      <w:pPr>
        <w:jc w:val="left"/>
        <w:shd w:val="clear" w:color="auto"/>
        <w:widowControl/>
        <w:rPr>
          <w:rFonts w:ascii="宋体" w:hAnsi="宋体" w:cs="宋体"/>
          <w:b/>
          <w:bCs/>
          <w:sz w:val="21"/>
          <w:szCs w:val="21"/>
          <w:highlight w:val="none"/>
        </w:rPr>
      </w:pPr>
      <w:r>
        <w:rPr>
          <w:rFonts w:ascii="宋体" w:hAnsi="宋体" w:cs="宋体"/>
          <w:b/>
          <w:bCs/>
          <w:sz w:val="21"/>
          <w:szCs w:val="21"/>
          <w:highlight w:val="none"/>
        </w:rPr>
      </w:r>
      <w:r/>
    </w:p>
    <w:p>
      <w:pPr>
        <w:ind w:firstLine="502"/>
        <w:spacing w:line="360" w:lineRule="auto"/>
        <w:shd w:val="clear" w:color="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投标单位：（单位盖章）</w:t>
      </w:r>
      <w:r/>
    </w:p>
    <w:p>
      <w:pPr>
        <w:ind w:firstLine="502"/>
        <w:spacing w:line="360" w:lineRule="auto"/>
        <w:shd w:val="clear" w:color="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法定代表人（负责人）或代理人：（签字或盖章）</w:t>
      </w:r>
      <w:r/>
    </w:p>
    <w:p>
      <w:pPr>
        <w:ind w:firstLine="502"/>
        <w:spacing w:line="360" w:lineRule="auto"/>
        <w:shd w:val="clear" w:color="auto"/>
        <w:rPr>
          <w:rFonts w:ascii="宋体" w:hAnsi="宋体" w:eastAsia="宋体" w:cs="宋体"/>
          <w:sz w:val="24"/>
          <w:szCs w:val="24"/>
          <w:highlight w:val="none"/>
          <w:lang w:val="zh-CN"/>
        </w:rPr>
      </w:pPr>
      <w:r>
        <w:rPr>
          <w:rFonts w:hint="eastAsia" w:ascii="宋体" w:hAnsi="宋体" w:eastAsia="宋体" w:cs="宋体"/>
          <w:sz w:val="21"/>
          <w:szCs w:val="21"/>
          <w:highlight w:val="none"/>
          <w:lang w:val="zh-CN"/>
        </w:rPr>
        <w:t xml:space="preserve">日期： </w:t>
      </w: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年 </w:t>
      </w: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月 </w:t>
      </w: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日</w:t>
      </w:r>
      <w:r/>
    </w:p>
    <w:p>
      <w:pPr>
        <w:ind w:firstLine="420"/>
        <w:jc w:val="left"/>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left"/>
        <w:shd w:val="clear" w:color="auto"/>
        <w:rPr>
          <w:rFonts w:hint="eastAsia" w:ascii="宋体" w:hAnsi="宋体" w:eastAsia="宋体"/>
          <w:b/>
          <w:bCs/>
          <w:sz w:val="21"/>
          <w:szCs w:val="21"/>
          <w:highlight w:val="none"/>
          <w:lang w:val="en-US" w:eastAsia="zh-CN"/>
        </w:rPr>
        <w:outlineLvl w:val="1"/>
      </w:pPr>
      <w:r>
        <w:rPr>
          <w:rFonts w:hint="eastAsia" w:asciiTheme="minorEastAsia" w:hAnsiTheme="minorEastAsia" w:eastAsiaTheme="minorEastAsia" w:cstheme="minorEastAsia"/>
          <w:b/>
          <w:bCs/>
          <w:color w:val="auto"/>
          <w:sz w:val="21"/>
          <w:szCs w:val="21"/>
          <w:highlight w:val="none"/>
        </w:rPr>
        <w:br w:type="page" w:clear="all"/>
      </w:r>
      <w:r>
        <w:rPr>
          <w:rFonts w:hint="eastAsia" w:ascii="宋体" w:hAnsi="宋体" w:eastAsia="宋体"/>
          <w:b/>
          <w:bCs/>
          <w:sz w:val="21"/>
          <w:szCs w:val="21"/>
          <w:highlight w:val="none"/>
          <w:lang w:val="en-US" w:eastAsia="zh-CN"/>
        </w:rPr>
        <w:t xml:space="preserve">五、技术参数响应及偏离表</w:t>
      </w:r>
      <w:r/>
    </w:p>
    <w:p>
      <w:pPr>
        <w:ind w:firstLine="0"/>
        <w:jc w:val="center"/>
        <w:spacing w:line="360" w:lineRule="auto"/>
        <w:shd w:val="clear" w:color="auto"/>
        <w:rPr>
          <w:rFonts w:hint="eastAsia" w:ascii="宋体" w:hAnsi="宋体" w:eastAsia="宋体"/>
          <w:b w:val="0"/>
          <w:sz w:val="21"/>
          <w:szCs w:val="21"/>
          <w:highlight w:val="none"/>
        </w:rPr>
        <w:outlineLvl w:val="9"/>
      </w:pPr>
      <w:r>
        <w:rPr>
          <w:rFonts w:hint="eastAsia" w:ascii="宋体" w:hAnsi="宋体" w:eastAsia="宋体"/>
          <w:b w:val="0"/>
          <w:sz w:val="21"/>
          <w:szCs w:val="21"/>
          <w:highlight w:val="none"/>
        </w:rPr>
      </w:r>
      <w:r/>
    </w:p>
    <w:p>
      <w:pPr>
        <w:ind w:firstLine="0"/>
        <w:jc w:val="center"/>
        <w:spacing w:line="360" w:lineRule="auto"/>
        <w:shd w:val="clear" w:color="auto"/>
        <w:rPr>
          <w:rFonts w:hint="eastAsia" w:ascii="宋体" w:hAnsi="宋体" w:eastAsia="宋体"/>
          <w:b/>
          <w:bCs/>
          <w:sz w:val="21"/>
          <w:szCs w:val="21"/>
          <w:highlight w:val="none"/>
        </w:rPr>
        <w:outlineLvl w:val="9"/>
      </w:pPr>
      <w:r>
        <w:rPr>
          <w:rFonts w:hint="eastAsia" w:ascii="宋体" w:hAnsi="宋体" w:eastAsia="宋体"/>
          <w:b/>
          <w:bCs/>
          <w:sz w:val="21"/>
          <w:szCs w:val="21"/>
          <w:highlight w:val="none"/>
        </w:rPr>
        <w:t xml:space="preserve">技术参数响应及偏离表</w:t>
      </w:r>
      <w:r/>
    </w:p>
    <w:tbl>
      <w:tblPr>
        <w:tblStyle w:val="736"/>
        <w:tblW w:w="9144"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shd w:val="clear" w:color="auto"/>
              <w:rPr>
                <w:rFonts w:ascii="宋体" w:hAnsi="宋体" w:eastAsia="宋体"/>
                <w:b/>
                <w:sz w:val="21"/>
                <w:szCs w:val="21"/>
                <w:highlight w:val="none"/>
              </w:rPr>
            </w:pPr>
            <w:r>
              <w:rPr>
                <w:rFonts w:hint="eastAsia" w:ascii="宋体" w:hAnsi="宋体" w:eastAsia="宋体"/>
                <w:b/>
                <w:sz w:val="21"/>
                <w:szCs w:val="21"/>
                <w:highlight w:val="none"/>
              </w:rPr>
              <w:t xml:space="preserve">序号</w:t>
            </w:r>
            <w:r/>
          </w:p>
        </w:tc>
        <w:tc>
          <w:tcPr>
            <w:tcW w:w="1800" w:type="dxa"/>
            <w:vAlign w:val="center"/>
            <w:textDirection w:val="lrTb"/>
            <w:noWrap w:val="false"/>
          </w:tcPr>
          <w:p>
            <w:pPr>
              <w:jc w:val="center"/>
              <w:shd w:val="clear" w:color="auto"/>
              <w:rPr>
                <w:rFonts w:ascii="宋体" w:hAnsi="宋体" w:eastAsia="宋体"/>
                <w:b/>
                <w:sz w:val="21"/>
                <w:szCs w:val="21"/>
                <w:highlight w:val="none"/>
              </w:rPr>
            </w:pPr>
            <w:r>
              <w:rPr>
                <w:rFonts w:hint="eastAsia" w:ascii="宋体" w:hAnsi="宋体" w:eastAsia="宋体"/>
                <w:b/>
                <w:sz w:val="21"/>
                <w:szCs w:val="21"/>
                <w:highlight w:val="none"/>
              </w:rPr>
              <w:t xml:space="preserve">货物名称、品牌、规格</w:t>
            </w:r>
            <w:r/>
          </w:p>
        </w:tc>
        <w:tc>
          <w:tcPr>
            <w:tcW w:w="1620" w:type="dxa"/>
            <w:vAlign w:val="center"/>
            <w:textDirection w:val="lrTb"/>
            <w:noWrap w:val="false"/>
          </w:tcPr>
          <w:p>
            <w:pPr>
              <w:jc w:val="center"/>
              <w:shd w:val="clear" w:color="auto"/>
              <w:rPr>
                <w:rFonts w:ascii="宋体" w:hAnsi="宋体" w:eastAsia="宋体"/>
                <w:b/>
                <w:sz w:val="21"/>
                <w:szCs w:val="21"/>
                <w:highlight w:val="none"/>
              </w:rPr>
            </w:pPr>
            <w:r>
              <w:rPr>
                <w:rFonts w:hint="eastAsia" w:ascii="宋体" w:hAnsi="宋体" w:eastAsia="宋体"/>
                <w:b/>
                <w:sz w:val="21"/>
                <w:szCs w:val="21"/>
                <w:highlight w:val="none"/>
              </w:rPr>
              <w:t xml:space="preserve">招标要求</w:t>
            </w:r>
            <w:r/>
          </w:p>
        </w:tc>
        <w:tc>
          <w:tcPr>
            <w:tcW w:w="1440" w:type="dxa"/>
            <w:vAlign w:val="center"/>
            <w:textDirection w:val="lrTb"/>
            <w:noWrap w:val="false"/>
          </w:tcPr>
          <w:p>
            <w:pPr>
              <w:jc w:val="center"/>
              <w:shd w:val="clear" w:color="auto"/>
              <w:rPr>
                <w:rFonts w:ascii="宋体" w:hAnsi="宋体" w:eastAsia="宋体"/>
                <w:b/>
                <w:sz w:val="21"/>
                <w:szCs w:val="21"/>
                <w:highlight w:val="none"/>
              </w:rPr>
            </w:pPr>
            <w:r>
              <w:rPr>
                <w:rFonts w:hint="eastAsia" w:ascii="宋体" w:hAnsi="宋体" w:eastAsia="宋体"/>
                <w:b/>
                <w:sz w:val="21"/>
                <w:szCs w:val="21"/>
                <w:highlight w:val="none"/>
              </w:rPr>
              <w:t xml:space="preserve">投标要求</w:t>
            </w:r>
            <w:r/>
          </w:p>
        </w:tc>
        <w:tc>
          <w:tcPr>
            <w:tcW w:w="1699" w:type="dxa"/>
            <w:vAlign w:val="center"/>
            <w:textDirection w:val="lrTb"/>
            <w:noWrap w:val="false"/>
          </w:tcPr>
          <w:p>
            <w:pPr>
              <w:jc w:val="center"/>
              <w:shd w:val="clear" w:color="auto"/>
              <w:rPr>
                <w:rFonts w:ascii="宋体" w:hAnsi="宋体" w:eastAsia="宋体"/>
                <w:b/>
                <w:sz w:val="21"/>
                <w:szCs w:val="21"/>
                <w:highlight w:val="none"/>
              </w:rPr>
            </w:pPr>
            <w:r>
              <w:rPr>
                <w:rFonts w:hint="eastAsia" w:ascii="宋体" w:hAnsi="宋体" w:eastAsia="宋体"/>
                <w:b/>
                <w:sz w:val="21"/>
                <w:szCs w:val="21"/>
                <w:highlight w:val="none"/>
              </w:rPr>
              <w:t xml:space="preserve">偏离/响应</w:t>
            </w:r>
            <w:r/>
          </w:p>
        </w:tc>
        <w:tc>
          <w:tcPr>
            <w:tcW w:w="1757" w:type="dxa"/>
            <w:vAlign w:val="center"/>
            <w:textDirection w:val="lrTb"/>
            <w:noWrap w:val="false"/>
          </w:tcPr>
          <w:p>
            <w:pPr>
              <w:jc w:val="center"/>
              <w:shd w:val="clear" w:color="auto"/>
              <w:rPr>
                <w:rFonts w:ascii="宋体" w:hAnsi="宋体" w:eastAsia="宋体"/>
                <w:b/>
                <w:sz w:val="21"/>
                <w:szCs w:val="21"/>
                <w:highlight w:val="none"/>
              </w:rPr>
            </w:pPr>
            <w:r>
              <w:rPr>
                <w:rFonts w:hint="eastAsia" w:ascii="宋体" w:hAnsi="宋体" w:eastAsia="宋体"/>
                <w:b/>
                <w:sz w:val="21"/>
                <w:szCs w:val="21"/>
                <w:highlight w:val="none"/>
              </w:rPr>
              <w:t xml:space="preserve">说明</w:t>
            </w:r>
            <w:r/>
          </w:p>
        </w:tc>
      </w:tr>
      <w:tr>
        <w:trPr>
          <w:jc w:val="center"/>
        </w:trPr>
        <w:tc>
          <w:tcPr>
            <w:tcW w:w="828" w:type="dxa"/>
            <w:textDirection w:val="lrTb"/>
            <w:noWrap w:val="false"/>
          </w:tcPr>
          <w:p>
            <w:pPr>
              <w:spacing w:before="240" w:after="240"/>
              <w:shd w:val="clear" w:color="auto"/>
              <w:rPr>
                <w:rFonts w:ascii="宋体" w:hAnsi="宋体" w:eastAsia="宋体"/>
                <w:sz w:val="21"/>
                <w:szCs w:val="21"/>
                <w:highlight w:val="none"/>
              </w:rPr>
            </w:pPr>
            <w:r>
              <w:rPr>
                <w:rFonts w:ascii="宋体" w:hAnsi="宋体" w:eastAsia="宋体"/>
                <w:sz w:val="21"/>
                <w:szCs w:val="21"/>
                <w:highlight w:val="none"/>
              </w:rPr>
            </w:r>
            <w:r/>
          </w:p>
        </w:tc>
        <w:tc>
          <w:tcPr>
            <w:tcW w:w="180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2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44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spacing w:before="240" w:after="240"/>
              <w:shd w:val="clear" w:color="auto"/>
              <w:rPr>
                <w:rFonts w:ascii="宋体" w:hAnsi="宋体" w:eastAsia="宋体"/>
                <w:sz w:val="21"/>
                <w:szCs w:val="21"/>
                <w:highlight w:val="none"/>
              </w:rPr>
            </w:pPr>
            <w:r>
              <w:rPr>
                <w:rFonts w:ascii="宋体" w:hAnsi="宋体" w:eastAsia="宋体"/>
                <w:sz w:val="21"/>
                <w:szCs w:val="21"/>
                <w:highlight w:val="none"/>
              </w:rPr>
            </w:r>
            <w:r/>
          </w:p>
        </w:tc>
        <w:tc>
          <w:tcPr>
            <w:tcW w:w="180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2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44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spacing w:before="240" w:after="240"/>
              <w:shd w:val="clear" w:color="auto"/>
              <w:rPr>
                <w:rFonts w:ascii="宋体" w:hAnsi="宋体" w:eastAsia="宋体"/>
                <w:sz w:val="21"/>
                <w:szCs w:val="21"/>
                <w:highlight w:val="none"/>
              </w:rPr>
            </w:pPr>
            <w:r>
              <w:rPr>
                <w:rFonts w:ascii="宋体" w:hAnsi="宋体" w:eastAsia="宋体"/>
                <w:sz w:val="21"/>
                <w:szCs w:val="21"/>
                <w:highlight w:val="none"/>
              </w:rPr>
            </w:r>
            <w:r/>
          </w:p>
        </w:tc>
        <w:tc>
          <w:tcPr>
            <w:tcW w:w="180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2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44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spacing w:before="240" w:after="240"/>
              <w:shd w:val="clear" w:color="auto"/>
              <w:rPr>
                <w:rFonts w:ascii="宋体" w:hAnsi="宋体" w:eastAsia="宋体"/>
                <w:sz w:val="21"/>
                <w:szCs w:val="21"/>
                <w:highlight w:val="none"/>
              </w:rPr>
            </w:pPr>
            <w:r>
              <w:rPr>
                <w:rFonts w:ascii="宋体" w:hAnsi="宋体" w:eastAsia="宋体"/>
                <w:sz w:val="21"/>
                <w:szCs w:val="21"/>
                <w:highlight w:val="none"/>
              </w:rPr>
            </w:r>
            <w:r/>
          </w:p>
        </w:tc>
        <w:tc>
          <w:tcPr>
            <w:tcW w:w="180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2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44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spacing w:before="240" w:after="240"/>
              <w:shd w:val="clear" w:color="auto"/>
              <w:rPr>
                <w:rFonts w:ascii="宋体" w:hAnsi="宋体" w:eastAsia="宋体"/>
                <w:sz w:val="21"/>
                <w:szCs w:val="21"/>
                <w:highlight w:val="none"/>
              </w:rPr>
            </w:pPr>
            <w:r>
              <w:rPr>
                <w:rFonts w:ascii="宋体" w:hAnsi="宋体" w:eastAsia="宋体"/>
                <w:sz w:val="21"/>
                <w:szCs w:val="21"/>
                <w:highlight w:val="none"/>
              </w:rPr>
            </w:r>
            <w:r/>
          </w:p>
        </w:tc>
        <w:tc>
          <w:tcPr>
            <w:tcW w:w="180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2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44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spacing w:before="240" w:after="240"/>
              <w:shd w:val="clear" w:color="auto"/>
              <w:rPr>
                <w:rFonts w:ascii="宋体" w:hAnsi="宋体" w:eastAsia="宋体"/>
                <w:sz w:val="21"/>
                <w:szCs w:val="21"/>
                <w:highlight w:val="none"/>
              </w:rPr>
            </w:pPr>
            <w:r>
              <w:rPr>
                <w:rFonts w:ascii="宋体" w:hAnsi="宋体" w:eastAsia="宋体"/>
                <w:sz w:val="21"/>
                <w:szCs w:val="21"/>
                <w:highlight w:val="none"/>
              </w:rPr>
            </w:r>
            <w:r/>
          </w:p>
        </w:tc>
        <w:tc>
          <w:tcPr>
            <w:tcW w:w="180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2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44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spacing w:before="240" w:after="240"/>
              <w:shd w:val="clear" w:color="auto"/>
              <w:rPr>
                <w:rFonts w:ascii="宋体" w:hAnsi="宋体" w:eastAsia="宋体"/>
                <w:sz w:val="21"/>
                <w:szCs w:val="21"/>
                <w:highlight w:val="none"/>
              </w:rPr>
            </w:pPr>
            <w:r>
              <w:rPr>
                <w:rFonts w:ascii="宋体" w:hAnsi="宋体" w:eastAsia="宋体"/>
                <w:sz w:val="21"/>
                <w:szCs w:val="21"/>
                <w:highlight w:val="none"/>
              </w:rPr>
            </w:r>
            <w:r/>
          </w:p>
        </w:tc>
        <w:tc>
          <w:tcPr>
            <w:tcW w:w="180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2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44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spacing w:before="240" w:after="240"/>
              <w:shd w:val="clear" w:color="auto"/>
              <w:rPr>
                <w:rFonts w:ascii="宋体" w:hAnsi="宋体" w:eastAsia="宋体"/>
                <w:sz w:val="21"/>
                <w:szCs w:val="21"/>
                <w:highlight w:val="none"/>
              </w:rPr>
            </w:pPr>
            <w:r>
              <w:rPr>
                <w:rFonts w:ascii="宋体" w:hAnsi="宋体" w:eastAsia="宋体"/>
                <w:sz w:val="21"/>
                <w:szCs w:val="21"/>
                <w:highlight w:val="none"/>
              </w:rPr>
            </w:r>
            <w:r/>
          </w:p>
        </w:tc>
        <w:tc>
          <w:tcPr>
            <w:tcW w:w="180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2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44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spacing w:before="240" w:after="240"/>
              <w:shd w:val="clear" w:color="auto"/>
              <w:rPr>
                <w:rFonts w:ascii="宋体" w:hAnsi="宋体" w:eastAsia="宋体"/>
                <w:sz w:val="21"/>
                <w:szCs w:val="21"/>
                <w:highlight w:val="none"/>
              </w:rPr>
            </w:pPr>
            <w:r>
              <w:rPr>
                <w:rFonts w:ascii="宋体" w:hAnsi="宋体" w:eastAsia="宋体"/>
                <w:sz w:val="21"/>
                <w:szCs w:val="21"/>
                <w:highlight w:val="none"/>
              </w:rPr>
            </w:r>
            <w:r/>
          </w:p>
        </w:tc>
        <w:tc>
          <w:tcPr>
            <w:tcW w:w="180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2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44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828" w:type="dxa"/>
            <w:textDirection w:val="lrTb"/>
            <w:noWrap w:val="false"/>
          </w:tcPr>
          <w:p>
            <w:pPr>
              <w:spacing w:before="240" w:after="240"/>
              <w:shd w:val="clear" w:color="auto"/>
              <w:rPr>
                <w:rFonts w:ascii="宋体" w:hAnsi="宋体" w:eastAsia="宋体"/>
                <w:sz w:val="21"/>
                <w:szCs w:val="21"/>
                <w:highlight w:val="none"/>
              </w:rPr>
            </w:pPr>
            <w:r>
              <w:rPr>
                <w:rFonts w:ascii="宋体" w:hAnsi="宋体" w:eastAsia="宋体"/>
                <w:sz w:val="21"/>
                <w:szCs w:val="21"/>
                <w:highlight w:val="none"/>
              </w:rPr>
            </w:r>
            <w:r/>
          </w:p>
        </w:tc>
        <w:tc>
          <w:tcPr>
            <w:tcW w:w="180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2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440"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699"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c>
          <w:tcPr>
            <w:tcW w:w="1757" w:type="dxa"/>
            <w:textDirection w:val="lrTb"/>
            <w:noWrap w:val="false"/>
          </w:tcPr>
          <w:p>
            <w:pPr>
              <w:shd w:val="clear" w:color="auto"/>
              <w:rPr>
                <w:rFonts w:ascii="宋体" w:hAnsi="宋体" w:eastAsia="宋体"/>
                <w:sz w:val="21"/>
                <w:szCs w:val="21"/>
                <w:highlight w:val="none"/>
              </w:rPr>
            </w:pPr>
            <w:r>
              <w:rPr>
                <w:rFonts w:ascii="宋体" w:hAnsi="宋体" w:eastAsia="宋体"/>
                <w:sz w:val="21"/>
                <w:szCs w:val="21"/>
                <w:highlight w:val="none"/>
              </w:rPr>
            </w:r>
            <w:r/>
          </w:p>
        </w:tc>
      </w:tr>
    </w:tbl>
    <w:p>
      <w:pPr>
        <w:shd w:val="clear" w:color="auto"/>
        <w:rPr>
          <w:rFonts w:ascii="宋体" w:hAnsi="宋体" w:eastAsia="宋体"/>
          <w:sz w:val="21"/>
          <w:szCs w:val="21"/>
          <w:highlight w:val="none"/>
        </w:rPr>
      </w:pPr>
      <w:r>
        <w:rPr>
          <w:rFonts w:ascii="宋体" w:hAnsi="宋体" w:eastAsia="宋体"/>
          <w:sz w:val="21"/>
          <w:szCs w:val="21"/>
          <w:highlight w:val="none"/>
        </w:rPr>
      </w:r>
      <w:r/>
    </w:p>
    <w:p>
      <w:pPr>
        <w:shd w:val="clear" w:color="auto"/>
        <w:rPr>
          <w:rFonts w:ascii="宋体" w:hAnsi="宋体" w:eastAsia="宋体"/>
          <w:sz w:val="21"/>
          <w:szCs w:val="21"/>
          <w:highlight w:val="none"/>
        </w:rPr>
      </w:pPr>
      <w:r>
        <w:rPr>
          <w:rFonts w:hint="eastAsia" w:ascii="宋体" w:hAnsi="宋体" w:eastAsia="宋体"/>
          <w:sz w:val="21"/>
          <w:szCs w:val="21"/>
          <w:highlight w:val="none"/>
        </w:rPr>
        <w:t xml:space="preserve">投标单位：（盖章）</w:t>
      </w:r>
      <w:r/>
    </w:p>
    <w:p>
      <w:pPr>
        <w:shd w:val="clear" w:color="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p>
    <w:p>
      <w:pPr>
        <w:shd w:val="clear" w:color="auto"/>
        <w:rPr>
          <w:rFonts w:ascii="宋体" w:hAnsi="宋体" w:eastAsia="宋体"/>
          <w:sz w:val="21"/>
          <w:szCs w:val="21"/>
          <w:highlight w:val="none"/>
        </w:rPr>
      </w:pPr>
      <w:r>
        <w:rPr>
          <w:rFonts w:hint="eastAsia" w:ascii="宋体" w:hAnsi="宋体" w:eastAsia="宋体"/>
          <w:sz w:val="21"/>
          <w:szCs w:val="21"/>
          <w:highlight w:val="none"/>
        </w:rPr>
        <w:t xml:space="preserve">日期：      年</w:t>
      </w:r>
      <w:r>
        <w:rPr>
          <w:rFonts w:ascii="宋体" w:hAnsi="宋体" w:eastAsia="宋体"/>
          <w:sz w:val="21"/>
          <w:szCs w:val="21"/>
          <w:highlight w:val="none"/>
        </w:rPr>
        <w:t xml:space="preserve">    </w:t>
      </w:r>
      <w:r>
        <w:rPr>
          <w:rFonts w:hint="eastAsia" w:ascii="宋体" w:hAnsi="宋体" w:eastAsia="宋体"/>
          <w:sz w:val="21"/>
          <w:szCs w:val="21"/>
          <w:highlight w:val="none"/>
        </w:rPr>
        <w:t xml:space="preserve">月</w:t>
      </w:r>
      <w:r>
        <w:rPr>
          <w:rFonts w:ascii="宋体" w:hAnsi="宋体" w:eastAsia="宋体"/>
          <w:sz w:val="21"/>
          <w:szCs w:val="21"/>
          <w:highlight w:val="none"/>
        </w:rPr>
        <w:t xml:space="preserve">    </w:t>
      </w:r>
      <w:r>
        <w:rPr>
          <w:rFonts w:hint="eastAsia" w:ascii="宋体" w:hAnsi="宋体" w:eastAsia="宋体"/>
          <w:sz w:val="21"/>
          <w:szCs w:val="21"/>
          <w:highlight w:val="none"/>
        </w:rPr>
        <w:t xml:space="preserve">日</w:t>
      </w:r>
      <w:r/>
    </w:p>
    <w:p>
      <w:pPr>
        <w:pStyle w:val="759"/>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shd w:val="clear" w:color="auto"/>
        <w:rPr>
          <w:rFonts w:hint="eastAsia" w:asciiTheme="minorEastAsia" w:hAnsiTheme="minorEastAsia" w:eastAsiaTheme="minorEastAsia" w:cstheme="minorEastAsia"/>
          <w:b/>
          <w:color w:val="auto"/>
          <w:sz w:val="21"/>
          <w:szCs w:val="21"/>
          <w:highlight w:val="none"/>
        </w:rPr>
        <w:outlineLvl w:val="1"/>
      </w:pPr>
      <w:r>
        <w:rPr>
          <w:rFonts w:hint="eastAsia" w:asciiTheme="minorEastAsia" w:hAnsiTheme="minorEastAsia" w:eastAsiaTheme="minorEastAsia" w:cstheme="minorEastAsia"/>
          <w:b/>
          <w:color w:val="auto"/>
          <w:sz w:val="21"/>
          <w:szCs w:val="21"/>
          <w:highlight w:val="none"/>
        </w:rPr>
        <w:br w:type="page" w:clear="all"/>
      </w:r>
      <w:r>
        <w:rPr>
          <w:rFonts w:hint="eastAsia" w:asciiTheme="minorEastAsia" w:hAnsiTheme="minorEastAsia" w:eastAsiaTheme="minorEastAsia" w:cstheme="minorEastAsia"/>
          <w:b/>
          <w:color w:val="auto"/>
          <w:sz w:val="21"/>
          <w:szCs w:val="21"/>
          <w:highlight w:val="none"/>
        </w:rPr>
        <w:t xml:space="preserve">六、商务条款偏离表</w:t>
      </w:r>
      <w:r/>
    </w:p>
    <w:p>
      <w:pPr>
        <w:jc w:val="center"/>
        <w:spacing w:line="360" w:lineRule="auto"/>
        <w:shd w:val="clear" w:color="auto"/>
        <w:rPr>
          <w:rFonts w:ascii="宋体" w:hAnsi="宋体" w:eastAsia="宋体"/>
          <w:b/>
          <w:sz w:val="21"/>
          <w:szCs w:val="21"/>
          <w:highlight w:val="none"/>
        </w:rPr>
      </w:pPr>
      <w:r>
        <w:rPr>
          <w:rFonts w:hint="eastAsia" w:ascii="宋体" w:hAnsi="宋体" w:eastAsia="宋体"/>
          <w:b/>
          <w:sz w:val="21"/>
          <w:szCs w:val="21"/>
          <w:highlight w:val="none"/>
        </w:rPr>
        <w:t xml:space="preserve">商务条款偏离表</w:t>
      </w:r>
      <w:r/>
    </w:p>
    <w:tbl>
      <w:tblPr>
        <w:tblStyle w:val="736"/>
        <w:tblW w:w="8525"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W w:w="1920" w:type="dxa"/>
            <w:textDirection w:val="lrTb"/>
            <w:noWrap w:val="false"/>
          </w:tcPr>
          <w:p>
            <w:pPr>
              <w:jc w:val="center"/>
              <w:spacing w:before="240" w:after="240"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招标文件条目号</w:t>
            </w:r>
            <w:r/>
          </w:p>
        </w:tc>
        <w:tc>
          <w:tcPr>
            <w:tcW w:w="2400" w:type="dxa"/>
            <w:textDirection w:val="lrTb"/>
            <w:noWrap w:val="false"/>
          </w:tcPr>
          <w:p>
            <w:pPr>
              <w:jc w:val="center"/>
              <w:spacing w:before="240" w:after="240"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招标文件的商务条款</w:t>
            </w:r>
            <w:r/>
          </w:p>
        </w:tc>
        <w:tc>
          <w:tcPr>
            <w:tcW w:w="2400" w:type="dxa"/>
            <w:textDirection w:val="lrTb"/>
            <w:noWrap w:val="false"/>
          </w:tcPr>
          <w:p>
            <w:pPr>
              <w:jc w:val="center"/>
              <w:spacing w:before="240" w:after="240"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投标文件的商务条款</w:t>
            </w:r>
            <w:r/>
          </w:p>
        </w:tc>
        <w:tc>
          <w:tcPr>
            <w:tcW w:w="1097" w:type="dxa"/>
            <w:textDirection w:val="lrTb"/>
            <w:noWrap w:val="false"/>
          </w:tcPr>
          <w:p>
            <w:pPr>
              <w:jc w:val="center"/>
              <w:spacing w:before="240" w:after="240"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说明</w:t>
            </w:r>
            <w:r/>
          </w:p>
        </w:tc>
      </w:tr>
      <w:tr>
        <w:trPr>
          <w:jc w:val="center"/>
        </w:trPr>
        <w:tc>
          <w:tcPr>
            <w:tcW w:w="708"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92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097"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92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097"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92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097"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92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097"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92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097"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92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097"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92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097"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92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097"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Pr>
        <w:tc>
          <w:tcPr>
            <w:tcW w:w="708"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92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2400"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c>
          <w:tcPr>
            <w:tcW w:w="1097" w:type="dxa"/>
            <w:textDirection w:val="lrTb"/>
            <w:noWrap w:val="false"/>
          </w:tcPr>
          <w:p>
            <w:pPr>
              <w:spacing w:before="240" w:after="240" w:line="360" w:lineRule="auto"/>
              <w:shd w:val="clear" w:color="auto"/>
              <w:rPr>
                <w:rFonts w:ascii="宋体" w:hAnsi="宋体" w:eastAsia="宋体"/>
                <w:sz w:val="21"/>
                <w:szCs w:val="21"/>
                <w:highlight w:val="none"/>
              </w:rPr>
            </w:pPr>
            <w:r>
              <w:rPr>
                <w:rFonts w:ascii="宋体" w:hAnsi="宋体" w:eastAsia="宋体"/>
                <w:sz w:val="21"/>
                <w:szCs w:val="21"/>
                <w:highlight w:val="none"/>
              </w:rPr>
            </w:r>
            <w:r/>
          </w:p>
        </w:tc>
      </w:tr>
    </w:tbl>
    <w:p>
      <w:pPr>
        <w:spacing w:line="360" w:lineRule="auto"/>
        <w:shd w:val="clear" w:color="auto"/>
        <w:rPr>
          <w:rFonts w:ascii="宋体" w:hAnsi="宋体" w:eastAsia="宋体"/>
          <w:bCs/>
          <w:sz w:val="21"/>
          <w:szCs w:val="21"/>
          <w:highlight w:val="none"/>
        </w:rPr>
      </w:pPr>
      <w:r>
        <w:rPr>
          <w:rFonts w:ascii="宋体" w:hAnsi="宋体" w:eastAsia="宋体"/>
          <w:bCs/>
          <w:sz w:val="21"/>
          <w:szCs w:val="21"/>
          <w:highlight w:val="none"/>
        </w:rPr>
      </w:r>
      <w:r/>
    </w:p>
    <w:p>
      <w:pPr>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投标单位：（单位盖章）</w:t>
      </w:r>
      <w:r/>
    </w:p>
    <w:p>
      <w:pPr>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p>
    <w:p>
      <w:pPr>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日期：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年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月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日</w:t>
      </w:r>
      <w:r/>
    </w:p>
    <w:p>
      <w:pPr>
        <w:pStyle w:val="756"/>
        <w:jc w:val="left"/>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r/>
    </w:p>
    <w:p>
      <w:pPr>
        <w:spacing w:line="360" w:lineRule="auto"/>
        <w:shd w:val="clear" w:color="auto"/>
        <w:rPr>
          <w:rFonts w:ascii="宋体" w:hAnsi="宋体" w:eastAsia="宋体" w:cs="宋体"/>
          <w:b/>
          <w:bCs/>
          <w:sz w:val="21"/>
          <w:szCs w:val="21"/>
          <w:highlight w:val="none"/>
        </w:rPr>
        <w:outlineLvl w:val="1"/>
      </w:pPr>
      <w:r>
        <w:rPr>
          <w:rFonts w:hint="eastAsia" w:asciiTheme="minorEastAsia" w:hAnsiTheme="minorEastAsia" w:eastAsiaTheme="minorEastAsia" w:cstheme="minorEastAsia"/>
          <w:b/>
          <w:color w:val="auto"/>
          <w:sz w:val="21"/>
          <w:szCs w:val="21"/>
          <w:highlight w:val="none"/>
          <w:lang w:val="en-US" w:eastAsia="zh-CN"/>
        </w:rPr>
        <w:t xml:space="preserve">七、</w:t>
      </w:r>
      <w:r>
        <w:rPr>
          <w:rFonts w:hint="eastAsia" w:ascii="宋体" w:hAnsi="宋体" w:eastAsia="宋体"/>
          <w:b/>
          <w:sz w:val="21"/>
          <w:szCs w:val="21"/>
          <w:highlight w:val="none"/>
        </w:rPr>
        <w:t xml:space="preserve">售后服务承诺书</w:t>
      </w:r>
      <w:r/>
    </w:p>
    <w:p>
      <w:pPr>
        <w:jc w:val="center"/>
        <w:spacing w:before="25" w:after="25" w:line="360" w:lineRule="auto"/>
        <w:shd w:val="clear" w:color="auto"/>
        <w:rPr>
          <w:rFonts w:ascii="宋体" w:hAnsi="宋体" w:eastAsia="宋体"/>
          <w:b/>
          <w:bCs/>
          <w:sz w:val="21"/>
          <w:szCs w:val="21"/>
          <w:highlight w:val="none"/>
        </w:rPr>
      </w:pPr>
      <w:r>
        <w:rPr>
          <w:rFonts w:hint="eastAsia" w:ascii="宋体" w:hAnsi="宋体" w:eastAsia="宋体"/>
          <w:b/>
          <w:bCs/>
          <w:sz w:val="21"/>
          <w:szCs w:val="21"/>
          <w:highlight w:val="none"/>
        </w:rPr>
        <w:t xml:space="preserve">售后服务承诺书</w:t>
      </w:r>
      <w:r/>
    </w:p>
    <w:tbl>
      <w:tblPr>
        <w:tblStyle w:val="736"/>
        <w:tblW w:w="86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3198"/>
        <w:gridCol w:w="1881"/>
        <w:gridCol w:w="2734"/>
      </w:tblGrid>
      <w:tr>
        <w:trPr>
          <w:jc w:val="center"/>
          <w:trHeight w:val="583"/>
        </w:trPr>
        <w:tc>
          <w:tcPr>
            <w:tcW w:w="865"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W w:w="3198"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售后服务内容</w:t>
            </w:r>
            <w:r/>
          </w:p>
        </w:tc>
        <w:tc>
          <w:tcPr>
            <w:tcW w:w="1881"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期限（时间）</w:t>
            </w:r>
            <w:r/>
          </w:p>
        </w:tc>
        <w:tc>
          <w:tcPr>
            <w:tcW w:w="2734"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备注</w:t>
            </w:r>
            <w:r/>
          </w:p>
        </w:tc>
      </w:tr>
      <w:tr>
        <w:trPr>
          <w:jc w:val="center"/>
          <w:trHeight w:val="482"/>
        </w:trPr>
        <w:tc>
          <w:tcPr>
            <w:tcW w:w="865"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1</w:t>
            </w:r>
            <w:r/>
          </w:p>
        </w:tc>
        <w:tc>
          <w:tcPr>
            <w:tcW w:w="3198"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免费质保期</w:t>
            </w:r>
            <w:r/>
          </w:p>
        </w:tc>
        <w:tc>
          <w:tcPr>
            <w:tcW w:w="1881" w:type="dxa"/>
            <w:vAlign w:val="center"/>
            <w:textDirection w:val="lrTb"/>
            <w:noWrap w:val="false"/>
          </w:tcPr>
          <w:p>
            <w:pPr>
              <w:jc w:val="center"/>
              <w:shd w:val="clear" w:color="auto"/>
              <w:rPr>
                <w:rFonts w:ascii="宋体" w:hAnsi="宋体" w:eastAsia="宋体"/>
                <w:sz w:val="21"/>
                <w:szCs w:val="21"/>
                <w:highlight w:val="none"/>
              </w:rPr>
            </w:pPr>
            <w:r>
              <w:rPr>
                <w:rFonts w:ascii="宋体" w:hAnsi="宋体" w:eastAsia="宋体"/>
                <w:sz w:val="21"/>
                <w:szCs w:val="21"/>
                <w:highlight w:val="none"/>
              </w:rPr>
            </w:r>
            <w:r/>
          </w:p>
        </w:tc>
        <w:tc>
          <w:tcPr>
            <w:tcW w:w="2734" w:type="dxa"/>
            <w:vAlign w:val="center"/>
            <w:textDirection w:val="lrTb"/>
            <w:noWrap w:val="false"/>
          </w:tcPr>
          <w:p>
            <w:pPr>
              <w:jc w:val="center"/>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Height w:val="482"/>
        </w:trPr>
        <w:tc>
          <w:tcPr>
            <w:tcW w:w="865" w:type="dxa"/>
            <w:vAlign w:val="center"/>
            <w:textDirection w:val="lrTb"/>
            <w:noWrap w:val="false"/>
          </w:tcPr>
          <w:p>
            <w:pPr>
              <w:jc w:val="center"/>
              <w:shd w:val="clear" w:color="auto"/>
              <w:rPr>
                <w:rFonts w:ascii="宋体" w:hAnsi="宋体" w:eastAsia="宋体"/>
                <w:sz w:val="21"/>
                <w:szCs w:val="21"/>
                <w:highlight w:val="none"/>
              </w:rPr>
            </w:pPr>
            <w:r>
              <w:rPr>
                <w:rFonts w:ascii="宋体" w:hAnsi="宋体" w:eastAsia="宋体"/>
                <w:sz w:val="21"/>
                <w:szCs w:val="21"/>
                <w:highlight w:val="none"/>
              </w:rPr>
              <w:t xml:space="preserve">2</w:t>
            </w:r>
            <w:r/>
          </w:p>
        </w:tc>
        <w:tc>
          <w:tcPr>
            <w:tcW w:w="3198"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服务响应</w:t>
            </w:r>
            <w:r/>
          </w:p>
        </w:tc>
        <w:tc>
          <w:tcPr>
            <w:tcW w:w="1881" w:type="dxa"/>
            <w:vAlign w:val="center"/>
            <w:textDirection w:val="lrTb"/>
            <w:noWrap w:val="false"/>
          </w:tcPr>
          <w:p>
            <w:pPr>
              <w:jc w:val="center"/>
              <w:shd w:val="clear" w:color="auto"/>
              <w:rPr>
                <w:rFonts w:ascii="宋体" w:hAnsi="宋体" w:eastAsia="宋体"/>
                <w:sz w:val="21"/>
                <w:szCs w:val="21"/>
                <w:highlight w:val="none"/>
              </w:rPr>
            </w:pPr>
            <w:r>
              <w:rPr>
                <w:rFonts w:ascii="宋体" w:hAnsi="宋体" w:eastAsia="宋体"/>
                <w:sz w:val="21"/>
                <w:szCs w:val="21"/>
                <w:highlight w:val="none"/>
              </w:rPr>
            </w:r>
            <w:r/>
          </w:p>
        </w:tc>
        <w:tc>
          <w:tcPr>
            <w:tcW w:w="2734" w:type="dxa"/>
            <w:vAlign w:val="center"/>
            <w:textDirection w:val="lrTb"/>
            <w:noWrap w:val="false"/>
          </w:tcPr>
          <w:p>
            <w:pPr>
              <w:jc w:val="center"/>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Height w:val="482"/>
        </w:trPr>
        <w:tc>
          <w:tcPr>
            <w:tcW w:w="865" w:type="dxa"/>
            <w:vAlign w:val="center"/>
            <w:textDirection w:val="lrTb"/>
            <w:noWrap w:val="false"/>
          </w:tcPr>
          <w:p>
            <w:pPr>
              <w:jc w:val="center"/>
              <w:shd w:val="clear" w:color="auto"/>
              <w:rPr>
                <w:rFonts w:ascii="宋体" w:hAnsi="宋体" w:eastAsia="宋体"/>
                <w:sz w:val="21"/>
                <w:szCs w:val="21"/>
                <w:highlight w:val="none"/>
              </w:rPr>
            </w:pPr>
            <w:r>
              <w:rPr>
                <w:rFonts w:ascii="宋体" w:hAnsi="宋体" w:eastAsia="宋体"/>
                <w:sz w:val="21"/>
                <w:szCs w:val="21"/>
                <w:highlight w:val="none"/>
              </w:rPr>
              <w:t xml:space="preserve">3</w:t>
            </w:r>
            <w:r/>
          </w:p>
        </w:tc>
        <w:tc>
          <w:tcPr>
            <w:tcW w:w="3198"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到达现场</w:t>
            </w:r>
            <w:r/>
          </w:p>
        </w:tc>
        <w:tc>
          <w:tcPr>
            <w:tcW w:w="1881" w:type="dxa"/>
            <w:vAlign w:val="center"/>
            <w:textDirection w:val="lrTb"/>
            <w:noWrap w:val="false"/>
          </w:tcPr>
          <w:p>
            <w:pPr>
              <w:jc w:val="center"/>
              <w:shd w:val="clear" w:color="auto"/>
              <w:rPr>
                <w:rFonts w:ascii="宋体" w:hAnsi="宋体" w:eastAsia="宋体"/>
                <w:sz w:val="21"/>
                <w:szCs w:val="21"/>
                <w:highlight w:val="none"/>
              </w:rPr>
            </w:pPr>
            <w:r>
              <w:rPr>
                <w:rFonts w:ascii="宋体" w:hAnsi="宋体" w:eastAsia="宋体"/>
                <w:sz w:val="21"/>
                <w:szCs w:val="21"/>
                <w:highlight w:val="none"/>
              </w:rPr>
            </w:r>
            <w:r/>
          </w:p>
        </w:tc>
        <w:tc>
          <w:tcPr>
            <w:tcW w:w="2734" w:type="dxa"/>
            <w:vAlign w:val="center"/>
            <w:textDirection w:val="lrTb"/>
            <w:noWrap w:val="false"/>
          </w:tcPr>
          <w:p>
            <w:pPr>
              <w:jc w:val="center"/>
              <w:shd w:val="clear" w:color="auto"/>
              <w:rPr>
                <w:rFonts w:ascii="宋体" w:hAnsi="宋体" w:eastAsia="宋体"/>
                <w:sz w:val="21"/>
                <w:szCs w:val="21"/>
                <w:highlight w:val="none"/>
              </w:rPr>
            </w:pPr>
            <w:r>
              <w:rPr>
                <w:rFonts w:ascii="宋体" w:hAnsi="宋体" w:eastAsia="宋体"/>
                <w:sz w:val="21"/>
                <w:szCs w:val="21"/>
                <w:highlight w:val="none"/>
              </w:rPr>
            </w:r>
            <w:r/>
          </w:p>
        </w:tc>
      </w:tr>
      <w:tr>
        <w:trPr>
          <w:jc w:val="center"/>
          <w:trHeight w:val="511"/>
        </w:trPr>
        <w:tc>
          <w:tcPr>
            <w:tcW w:w="865" w:type="dxa"/>
            <w:vAlign w:val="center"/>
            <w:textDirection w:val="lrTb"/>
            <w:noWrap w:val="false"/>
          </w:tcPr>
          <w:p>
            <w:pPr>
              <w:jc w:val="center"/>
              <w:shd w:val="clear" w:color="auto"/>
              <w:rPr>
                <w:rFonts w:ascii="宋体" w:hAnsi="宋体" w:eastAsia="宋体"/>
                <w:sz w:val="21"/>
                <w:szCs w:val="21"/>
                <w:highlight w:val="none"/>
              </w:rPr>
            </w:pPr>
            <w:r>
              <w:rPr>
                <w:rFonts w:ascii="宋体" w:hAnsi="宋体" w:eastAsia="宋体"/>
                <w:sz w:val="21"/>
                <w:szCs w:val="21"/>
                <w:highlight w:val="none"/>
              </w:rPr>
              <w:t xml:space="preserve">4</w:t>
            </w:r>
            <w:r/>
          </w:p>
        </w:tc>
        <w:tc>
          <w:tcPr>
            <w:tcW w:w="3198" w:type="dxa"/>
            <w:vAlign w:val="center"/>
            <w:textDirection w:val="lrTb"/>
            <w:noWrap w:val="false"/>
          </w:tcPr>
          <w:p>
            <w:pPr>
              <w:jc w:val="center"/>
              <w:shd w:val="clear" w:color="auto"/>
              <w:rPr>
                <w:rFonts w:ascii="宋体" w:hAnsi="宋体" w:eastAsia="宋体"/>
                <w:sz w:val="21"/>
                <w:szCs w:val="21"/>
                <w:highlight w:val="none"/>
              </w:rPr>
            </w:pPr>
            <w:r>
              <w:rPr>
                <w:rFonts w:hint="eastAsia" w:ascii="宋体" w:hAnsi="宋体" w:eastAsia="宋体"/>
                <w:sz w:val="21"/>
                <w:szCs w:val="21"/>
                <w:highlight w:val="none"/>
              </w:rPr>
              <w:t xml:space="preserve">解决问题</w:t>
            </w:r>
            <w:r/>
          </w:p>
        </w:tc>
        <w:tc>
          <w:tcPr>
            <w:tcW w:w="1881" w:type="dxa"/>
            <w:vAlign w:val="center"/>
            <w:textDirection w:val="lrTb"/>
            <w:noWrap w:val="false"/>
          </w:tcPr>
          <w:p>
            <w:pPr>
              <w:jc w:val="center"/>
              <w:shd w:val="clear" w:color="auto"/>
              <w:rPr>
                <w:rFonts w:ascii="宋体" w:hAnsi="宋体" w:eastAsia="宋体"/>
                <w:sz w:val="21"/>
                <w:szCs w:val="21"/>
                <w:highlight w:val="none"/>
              </w:rPr>
            </w:pPr>
            <w:r>
              <w:rPr>
                <w:rFonts w:ascii="宋体" w:hAnsi="宋体" w:eastAsia="宋体"/>
                <w:sz w:val="21"/>
                <w:szCs w:val="21"/>
                <w:highlight w:val="none"/>
              </w:rPr>
            </w:r>
            <w:r/>
          </w:p>
        </w:tc>
        <w:tc>
          <w:tcPr>
            <w:tcW w:w="2734" w:type="dxa"/>
            <w:vAlign w:val="center"/>
            <w:textDirection w:val="lrTb"/>
            <w:noWrap w:val="false"/>
          </w:tcPr>
          <w:p>
            <w:pPr>
              <w:jc w:val="center"/>
              <w:shd w:val="clear" w:color="auto"/>
              <w:rPr>
                <w:rFonts w:ascii="宋体" w:hAnsi="宋体" w:eastAsia="宋体"/>
                <w:sz w:val="21"/>
                <w:szCs w:val="21"/>
                <w:highlight w:val="none"/>
              </w:rPr>
            </w:pPr>
            <w:r>
              <w:rPr>
                <w:rFonts w:ascii="宋体" w:hAnsi="宋体" w:eastAsia="宋体"/>
                <w:sz w:val="21"/>
                <w:szCs w:val="21"/>
                <w:highlight w:val="none"/>
              </w:rPr>
            </w:r>
            <w:r/>
          </w:p>
        </w:tc>
      </w:tr>
    </w:tbl>
    <w:p>
      <w:pPr>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注：</w:t>
      </w:r>
      <w:r/>
    </w:p>
    <w:p>
      <w:pPr>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1、针对服务内容有必须说明的事项，请在“备注”栏目内注明；</w:t>
      </w:r>
      <w:r/>
    </w:p>
    <w:p>
      <w:pPr>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2、如有其它售后服务内容，可自行参照填写。</w:t>
      </w:r>
      <w:r/>
    </w:p>
    <w:p>
      <w:pPr>
        <w:spacing w:line="360" w:lineRule="auto"/>
        <w:shd w:val="clear" w:color="auto"/>
        <w:rPr>
          <w:rFonts w:ascii="宋体" w:hAnsi="宋体" w:eastAsia="宋体"/>
          <w:sz w:val="21"/>
          <w:szCs w:val="21"/>
          <w:highlight w:val="none"/>
        </w:rPr>
      </w:pPr>
      <w:r>
        <w:rPr>
          <w:rFonts w:ascii="宋体" w:hAnsi="宋体" w:eastAsia="宋体"/>
          <w:sz w:val="21"/>
          <w:szCs w:val="21"/>
          <w:highlight w:val="none"/>
        </w:rPr>
      </w:r>
      <w:r/>
    </w:p>
    <w:p>
      <w:pPr>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投标单位：（单位盖章）</w:t>
      </w:r>
      <w:r/>
    </w:p>
    <w:p>
      <w:pPr>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p>
    <w:p>
      <w:pPr>
        <w:spacing w:line="360" w:lineRule="auto"/>
        <w:shd w:val="clear" w:color="auto"/>
        <w:rPr>
          <w:rFonts w:ascii="宋体" w:hAnsi="宋体" w:eastAsia="宋体"/>
          <w:sz w:val="21"/>
          <w:szCs w:val="21"/>
          <w:highlight w:val="none"/>
        </w:rPr>
      </w:pPr>
      <w:r>
        <w:rPr>
          <w:rFonts w:hint="eastAsia" w:ascii="宋体" w:hAnsi="宋体" w:eastAsia="宋体"/>
          <w:sz w:val="21"/>
          <w:szCs w:val="21"/>
          <w:highlight w:val="none"/>
        </w:rPr>
        <w:t xml:space="preserve">日期：      年    月    日</w:t>
      </w:r>
      <w:r/>
    </w:p>
    <w:p>
      <w:pPr>
        <w:pStyle w:val="756"/>
        <w:jc w:val="left"/>
        <w:spacing w:line="360" w:lineRule="auto"/>
        <w:shd w:val="clear" w:color="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r>
      <w:r/>
    </w:p>
    <w:p>
      <w:pPr>
        <w:shd w:val="clear" w:color="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br w:type="page" w:clear="all"/>
      </w:r>
      <w:r/>
    </w:p>
    <w:p>
      <w:pPr>
        <w:pStyle w:val="756"/>
        <w:jc w:val="left"/>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八、</w:t>
      </w:r>
      <w:r>
        <w:rPr>
          <w:rFonts w:hint="eastAsia" w:asciiTheme="minorEastAsia" w:hAnsiTheme="minorEastAsia" w:eastAsiaTheme="minorEastAsia" w:cstheme="minorEastAsia"/>
          <w:b/>
          <w:color w:val="auto"/>
          <w:sz w:val="21"/>
          <w:szCs w:val="21"/>
          <w:highlight w:val="none"/>
        </w:rPr>
        <w:t xml:space="preserve">资格证明文件</w:t>
      </w:r>
      <w:bookmarkEnd w:id="30"/>
      <w:r/>
      <w:bookmarkEnd w:id="31"/>
      <w:r/>
      <w:r/>
    </w:p>
    <w:p>
      <w:pPr>
        <w:pStyle w:val="743"/>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pStyle w:val="756"/>
        <w:jc w:val="left"/>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1、关于资格文件的声明函</w:t>
      </w:r>
      <w:r/>
    </w:p>
    <w:p>
      <w:pPr>
        <w:pStyle w:val="738"/>
        <w:ind w:firstLine="0"/>
        <w:jc w:val="center"/>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738"/>
        <w:ind w:firstLine="0"/>
        <w:jc w:val="cente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关于资格文件的声明函</w:t>
      </w:r>
      <w:r/>
    </w:p>
    <w:p>
      <w:pPr>
        <w:pStyle w:val="738"/>
        <w:ind w:firstLine="0"/>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zh-CN"/>
        </w:rPr>
        <w:t xml:space="preserve">江苏沃咨咨询管理有限公司</w:t>
      </w:r>
      <w:r>
        <w:rPr>
          <w:rFonts w:hint="eastAsia" w:asciiTheme="minorEastAsia" w:hAnsiTheme="minorEastAsia" w:eastAsiaTheme="minorEastAsia" w:cstheme="minorEastAsia"/>
          <w:color w:val="auto"/>
          <w:sz w:val="21"/>
          <w:szCs w:val="21"/>
          <w:highlight w:val="none"/>
          <w:lang w:val="zh-CN"/>
        </w:rPr>
        <w:t xml:space="preserve">：</w:t>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本公司愿就由贵公司组织实施的编号为</w:t>
      </w:r>
      <w:r>
        <w:rPr>
          <w:rFonts w:hint="eastAsia" w:asciiTheme="minorEastAsia" w:hAnsiTheme="minorEastAsia" w:eastAsiaTheme="minorEastAsia" w:cstheme="minorEastAsia"/>
          <w:b/>
          <w:color w:val="auto"/>
          <w:sz w:val="21"/>
          <w:szCs w:val="21"/>
          <w:highlight w:val="none"/>
          <w:u w:val="single"/>
          <w:lang w:val="zh-CN"/>
        </w:rPr>
        <w:t xml:space="preserve">JSZC-320507-JSWZ-G2025-0025</w:t>
      </w:r>
      <w:r>
        <w:rPr>
          <w:rFonts w:hint="eastAsia" w:asciiTheme="minorEastAsia" w:hAnsiTheme="minorEastAsia" w:eastAsiaTheme="minorEastAsia" w:cstheme="minorEastAsia"/>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38"/>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38"/>
        <w:ind w:left="2800"/>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pStyle w:val="738"/>
        <w:ind w:left="2800"/>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38"/>
        <w:ind w:left="2800"/>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投标人法定代表或其授权人：（签字或盖章）：</w:t>
      </w:r>
      <w:r/>
    </w:p>
    <w:p>
      <w:pPr>
        <w:pStyle w:val="738"/>
        <w:ind w:left="2800"/>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38"/>
        <w:ind w:left="2800"/>
        <w:jc w:val="both"/>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日期：年    月    日</w:t>
      </w:r>
      <w:r/>
    </w:p>
    <w:p>
      <w:pPr>
        <w:pStyle w:val="756"/>
        <w:jc w:val="left"/>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b/>
          <w:color w:val="auto"/>
          <w:sz w:val="21"/>
          <w:szCs w:val="21"/>
          <w:highlight w:val="none"/>
        </w:rPr>
        <w:t xml:space="preserve">2、投标人情况表</w:t>
      </w:r>
      <w:r/>
    </w:p>
    <w:p>
      <w:pPr>
        <w:pStyle w:val="738"/>
        <w:ind w:firstLine="0"/>
        <w:jc w:val="center"/>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pStyle w:val="738"/>
        <w:ind w:firstLine="0"/>
        <w:jc w:val="center"/>
        <w:shd w:val="clear" w:color="auto"/>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供应商情况表</w:t>
      </w:r>
      <w:r/>
    </w:p>
    <w:p>
      <w:pPr>
        <w:pStyle w:val="738"/>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38"/>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单位名称（盖章）</w:t>
      </w:r>
      <w:r/>
    </w:p>
    <w:tbl>
      <w:tblPr>
        <w:tblStyle w:val="736"/>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446"/>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法定代表人（负责人）</w:t>
            </w:r>
            <w:r/>
          </w:p>
        </w:tc>
        <w:tc>
          <w:tcPr>
            <w:tcBorders>
              <w:top w:val="single" w:color="auto" w:sz="6" w:space="0"/>
              <w:left w:val="single" w:color="auto" w:sz="6" w:space="0"/>
              <w:bottom w:val="single" w:color="auto" w:sz="6" w:space="0"/>
              <w:right w:val="single" w:color="auto" w:sz="6" w:space="0"/>
            </w:tcBorders>
            <w:tcW w:w="2268"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559"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94"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470"/>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注册地址</w:t>
            </w:r>
            <w:r/>
          </w:p>
        </w:tc>
        <w:tc>
          <w:tcPr>
            <w:tcBorders>
              <w:top w:val="single" w:color="auto" w:sz="6" w:space="0"/>
              <w:left w:val="single" w:color="auto" w:sz="6" w:space="0"/>
              <w:bottom w:val="single" w:color="auto" w:sz="6" w:space="0"/>
              <w:right w:val="single" w:color="auto" w:sz="6" w:space="0"/>
            </w:tcBorders>
            <w:tcW w:w="2268"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559"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注册资金</w:t>
            </w:r>
            <w:r/>
          </w:p>
        </w:tc>
        <w:tc>
          <w:tcPr>
            <w:tcBorders>
              <w:top w:val="single" w:color="auto" w:sz="6" w:space="0"/>
              <w:left w:val="single" w:color="auto" w:sz="6" w:space="0"/>
              <w:bottom w:val="single" w:color="auto" w:sz="6" w:space="0"/>
              <w:right w:val="single" w:color="auto" w:sz="6" w:space="0"/>
            </w:tcBorders>
            <w:tcW w:w="2694" w:type="dxa"/>
            <w:textDirection w:val="lrTb"/>
            <w:noWrap w:val="false"/>
          </w:tcPr>
          <w:p>
            <w:pPr>
              <w:pStyle w:val="738"/>
              <w:ind w:firstLine="216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492"/>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572"/>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企业资质等级</w:t>
            </w:r>
            <w:r/>
          </w:p>
        </w:tc>
        <w:tc>
          <w:tcPr>
            <w:tcBorders>
              <w:top w:val="single" w:color="auto" w:sz="6" w:space="0"/>
              <w:left w:val="single" w:color="auto" w:sz="6" w:space="0"/>
              <w:bottom w:val="single" w:color="auto" w:sz="6" w:space="0"/>
              <w:right w:val="single" w:color="auto" w:sz="6" w:space="0"/>
            </w:tcBorders>
            <w:tcW w:w="2268" w:type="dxa"/>
            <w:vAlign w:val="bottom"/>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员工总人数</w:t>
            </w:r>
            <w:r/>
          </w:p>
        </w:tc>
        <w:tc>
          <w:tcPr>
            <w:tcBorders>
              <w:top w:val="single" w:color="auto" w:sz="6" w:space="0"/>
              <w:left w:val="single" w:color="auto" w:sz="6" w:space="0"/>
              <w:bottom w:val="single" w:color="auto" w:sz="6" w:space="0"/>
              <w:right w:val="single" w:color="auto" w:sz="6" w:space="0"/>
            </w:tcBorders>
            <w:tcW w:w="2694" w:type="dxa"/>
            <w:vAlign w:val="bottom"/>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570"/>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资产总计</w:t>
            </w:r>
            <w:r/>
          </w:p>
        </w:tc>
        <w:tc>
          <w:tcPr>
            <w:tcBorders>
              <w:top w:val="single" w:color="auto" w:sz="6" w:space="0"/>
              <w:left w:val="single" w:color="auto" w:sz="6" w:space="0"/>
              <w:bottom w:val="single" w:color="auto" w:sz="6" w:space="0"/>
              <w:right w:val="single" w:color="auto" w:sz="6" w:space="0"/>
            </w:tcBorders>
            <w:tcW w:w="2268" w:type="dxa"/>
            <w:vAlign w:val="center"/>
            <w:textDirection w:val="lrTb"/>
            <w:noWrap w:val="false"/>
          </w:tcPr>
          <w:p>
            <w:pPr>
              <w:pStyle w:val="738"/>
              <w:ind w:firstLine="1155"/>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738"/>
              <w:ind w:firstLine="0"/>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营业收入</w:t>
            </w:r>
            <w:r/>
          </w:p>
        </w:tc>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pStyle w:val="738"/>
              <w:ind w:firstLine="315"/>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   万元</w:t>
            </w:r>
            <w:r/>
          </w:p>
        </w:tc>
      </w:tr>
      <w:tr>
        <w:trPr>
          <w:cantSplit/>
          <w:jc w:val="center"/>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实现利润</w:t>
            </w:r>
            <w:r/>
          </w:p>
        </w:tc>
        <w:tc>
          <w:tcPr>
            <w:tcBorders>
              <w:top w:val="single" w:color="auto" w:sz="6" w:space="0"/>
              <w:left w:val="single" w:color="auto" w:sz="6" w:space="0"/>
              <w:bottom w:val="single" w:color="auto" w:sz="6" w:space="0"/>
              <w:right w:val="single" w:color="auto" w:sz="6" w:space="0"/>
            </w:tcBorders>
            <w:tcW w:w="2268" w:type="dxa"/>
            <w:vAlign w:val="center"/>
            <w:textDirection w:val="lrTb"/>
            <w:noWrap w:val="false"/>
          </w:tcPr>
          <w:p>
            <w:pPr>
              <w:pStyle w:val="738"/>
              <w:ind w:firstLine="0"/>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  万元</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738"/>
              <w:ind w:firstLine="0"/>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营业面积（含厂房面积）</w:t>
            </w:r>
            <w:r/>
          </w:p>
        </w:tc>
        <w:tc>
          <w:tcPr>
            <w:tcBorders>
              <w:top w:val="single" w:color="auto" w:sz="6" w:space="0"/>
              <w:left w:val="single" w:color="auto" w:sz="6" w:space="0"/>
              <w:bottom w:val="single" w:color="auto" w:sz="6" w:space="0"/>
              <w:right w:val="single" w:color="auto" w:sz="6" w:space="0"/>
            </w:tcBorders>
            <w:tcW w:w="2694" w:type="dxa"/>
            <w:vAlign w:val="center"/>
            <w:textDirection w:val="lrTb"/>
            <w:noWrap w:val="false"/>
          </w:tcPr>
          <w:p>
            <w:pPr>
              <w:pStyle w:val="738"/>
              <w:ind w:firstLine="0"/>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平方米</w:t>
            </w:r>
            <w:r/>
          </w:p>
        </w:tc>
      </w:tr>
      <w:tr>
        <w:trPr>
          <w:cantSplit/>
          <w:jc w:val="center"/>
          <w:trHeight w:val="597"/>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578"/>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681"/>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商业信誉和健全的财务会计制度介绍</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851"/>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履行合同所必需的设备和专业技术能力情况</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748"/>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依法缴纳税收和社会保障资金情况</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1164"/>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参加政府采购活动前三年内，在经营活动中有无重大违法记录</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695"/>
        </w:trPr>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其他需要说明的情况</w:t>
            </w:r>
            <w:r/>
          </w:p>
        </w:tc>
        <w:tc>
          <w:tcPr>
            <w:gridSpan w:val="3"/>
            <w:tcBorders>
              <w:top w:val="single" w:color="auto" w:sz="6" w:space="0"/>
              <w:left w:val="single" w:color="auto" w:sz="6" w:space="0"/>
              <w:bottom w:val="single" w:color="auto" w:sz="6" w:space="0"/>
              <w:right w:val="single" w:color="auto" w:sz="6" w:space="0"/>
            </w:tcBorders>
            <w:tcW w:w="6521" w:type="dxa"/>
            <w:textDirection w:val="lrTb"/>
            <w:noWrap w:val="false"/>
          </w:tcPr>
          <w:p>
            <w:pPr>
              <w:pStyle w:val="738"/>
              <w:ind w:firstLine="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jc w:val="left"/>
        <w:shd w:val="clear" w:color="auto"/>
        <w:widowControl/>
        <w:rPr>
          <w:rFonts w:hint="eastAsia" w:asciiTheme="minorEastAsia" w:hAnsiTheme="minorEastAsia" w:eastAsiaTheme="minorEastAsia" w:cstheme="minorEastAsia"/>
          <w:b/>
          <w:bCs/>
          <w:color w:val="auto"/>
          <w:sz w:val="21"/>
          <w:szCs w:val="21"/>
          <w:highlight w:val="none"/>
        </w:rPr>
      </w:pPr>
      <w:r/>
      <w:bookmarkStart w:id="32" w:name="_Toc142194272"/>
      <w:r>
        <w:rPr>
          <w:rFonts w:hint="eastAsia" w:asciiTheme="minorEastAsia" w:hAnsiTheme="minorEastAsia" w:eastAsiaTheme="minorEastAsia" w:cstheme="minorEastAsia"/>
          <w:b/>
          <w:bCs/>
          <w:color w:val="auto"/>
          <w:sz w:val="21"/>
          <w:szCs w:val="21"/>
          <w:highlight w:val="none"/>
        </w:rPr>
        <w:br w:type="page" w:clear="all"/>
      </w:r>
      <w:bookmarkStart w:id="33" w:name="_Toc405820303"/>
      <w:r/>
      <w:bookmarkStart w:id="34" w:name="_Toc348785370"/>
      <w:r/>
      <w:bookmarkStart w:id="35" w:name="_Toc348784829"/>
      <w:r/>
      <w:bookmarkStart w:id="36" w:name="_Toc348785015"/>
      <w:r/>
      <w:bookmarkStart w:id="37" w:name="_Toc405820241"/>
      <w:r/>
      <w:bookmarkStart w:id="38" w:name="_Toc405820181"/>
      <w:r/>
      <w:bookmarkStart w:id="39" w:name="_Toc382997005"/>
      <w:r/>
      <w:bookmarkStart w:id="40" w:name="_Toc405820406"/>
      <w:r/>
      <w:r/>
    </w:p>
    <w:p>
      <w:pPr>
        <w:pStyle w:val="738"/>
        <w:ind w:firstLine="0"/>
        <w:spacing w:line="360" w:lineRule="auto"/>
        <w:shd w:val="clear" w:color="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九</w:t>
      </w:r>
      <w:r>
        <w:rPr>
          <w:rFonts w:hint="eastAsia" w:asciiTheme="minorEastAsia" w:hAnsiTheme="minorEastAsia" w:eastAsiaTheme="minorEastAsia" w:cstheme="minorEastAsia"/>
          <w:b/>
          <w:color w:val="auto"/>
          <w:sz w:val="21"/>
          <w:szCs w:val="21"/>
          <w:highlight w:val="none"/>
        </w:rPr>
        <w:t xml:space="preserve">、</w:t>
      </w:r>
      <w:bookmarkStart w:id="41" w:name="_Ref392256331"/>
      <w:r>
        <w:rPr>
          <w:rFonts w:hint="eastAsia" w:asciiTheme="minorEastAsia" w:hAnsiTheme="minorEastAsia" w:eastAsiaTheme="minorEastAsia" w:cstheme="minorEastAsia"/>
          <w:b/>
          <w:bCs/>
          <w:color w:val="auto"/>
          <w:sz w:val="21"/>
          <w:szCs w:val="21"/>
          <w:highlight w:val="none"/>
        </w:rPr>
        <w:t xml:space="preserve">项目人员</w:t>
      </w:r>
      <w:bookmarkEnd w:id="41"/>
      <w:r>
        <w:rPr>
          <w:rFonts w:hint="eastAsia" w:asciiTheme="minorEastAsia" w:hAnsiTheme="minorEastAsia" w:eastAsiaTheme="minorEastAsia" w:cstheme="minorEastAsia"/>
          <w:b/>
          <w:bCs/>
          <w:color w:val="auto"/>
          <w:sz w:val="21"/>
          <w:szCs w:val="21"/>
          <w:highlight w:val="none"/>
        </w:rPr>
        <w:t xml:space="preserve">配置表</w:t>
      </w:r>
      <w:r/>
    </w:p>
    <w:p>
      <w:pPr>
        <w:jc w:val="center"/>
        <w:spacing w:line="360" w:lineRule="auto"/>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项目组人员配备一览表</w:t>
      </w:r>
      <w:r/>
    </w:p>
    <w:tbl>
      <w:tblPr>
        <w:tblStyle w:val="736"/>
        <w:tblW w:w="88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895"/>
        <w:gridCol w:w="1041"/>
        <w:gridCol w:w="1084"/>
        <w:gridCol w:w="1035"/>
        <w:gridCol w:w="1105"/>
        <w:gridCol w:w="1000"/>
      </w:tblGrid>
      <w:tr>
        <w:trPr>
          <w:trHeight w:val="76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职称</w:t>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420"/>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投标人：（单位盖章）</w:t>
      </w:r>
      <w:r/>
    </w:p>
    <w:p>
      <w:pP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spacing w:line="360" w:lineRule="auto"/>
        <w:shd w:val="clear" w:color="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日期：年  月  日</w:t>
      </w:r>
      <w:r/>
    </w:p>
    <w:p>
      <w:pPr>
        <w:jc w:val="left"/>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r/>
    </w:p>
    <w:p>
      <w:pPr>
        <w:pStyle w:val="756"/>
        <w:jc w:val="left"/>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十</w:t>
      </w:r>
      <w:r>
        <w:rPr>
          <w:rFonts w:hint="eastAsia" w:asciiTheme="minorEastAsia" w:hAnsiTheme="minorEastAsia" w:eastAsiaTheme="minorEastAsia" w:cstheme="minorEastAsia"/>
          <w:b/>
          <w:color w:val="auto"/>
          <w:sz w:val="21"/>
          <w:szCs w:val="21"/>
          <w:highlight w:val="none"/>
        </w:rPr>
        <w:t xml:space="preserve">、类似业绩一览表</w:t>
      </w:r>
      <w:r/>
    </w:p>
    <w:p>
      <w:pPr>
        <w:jc w:val="center"/>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center"/>
        <w:spacing w:line="360" w:lineRule="auto"/>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类似业绩一览表</w:t>
      </w:r>
      <w:r/>
    </w:p>
    <w:tbl>
      <w:tblPr>
        <w:tblStyle w:val="736"/>
        <w:tblW w:w="915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2879"/>
        <w:gridCol w:w="1852"/>
        <w:gridCol w:w="2204"/>
        <w:gridCol w:w="1225"/>
      </w:tblGrid>
      <w:tr>
        <w:trPr>
          <w:cantSplit/>
          <w:jc w:val="center"/>
          <w:trHeight w:val="634"/>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采购单位</w:t>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签订时间</w:t>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备注</w:t>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tbRlV"/>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r>
        <w:trPr>
          <w:cantSplit/>
          <w:jc w:val="center"/>
          <w:trHeight w:val="528" w:hRule="exact"/>
        </w:trPr>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879"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852"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2204"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r>
    </w:tbl>
    <w:p>
      <w:pPr>
        <w:jc w:val="center"/>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注：投标人应提供双方签订合同的复印件并加盖投标人公章（公章），否则将不作为评标的依据。</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60"/>
        <w:ind w:firstLine="42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pStyle w:val="760"/>
        <w:ind w:firstLine="420"/>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pStyle w:val="743"/>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日期：年 月 日</w:t>
      </w:r>
      <w:r/>
    </w:p>
    <w:p>
      <w:pPr>
        <w:pStyle w:val="756"/>
        <w:jc w:val="left"/>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bookmarkEnd w:id="33"/>
      <w:r/>
      <w:bookmarkEnd w:id="34"/>
      <w:r/>
      <w:bookmarkEnd w:id="35"/>
      <w:r/>
      <w:bookmarkEnd w:id="36"/>
      <w:r/>
      <w:bookmarkEnd w:id="37"/>
      <w:r/>
      <w:bookmarkEnd w:id="38"/>
      <w:r/>
      <w:bookmarkEnd w:id="39"/>
      <w:r/>
      <w:bookmarkEnd w:id="40"/>
      <w:r/>
      <w:bookmarkStart w:id="42" w:name="_Toc405820979"/>
      <w:r/>
      <w:bookmarkStart w:id="43" w:name="_Toc405820242"/>
      <w:r/>
      <w:bookmarkStart w:id="44" w:name="_Toc405820304"/>
      <w:r/>
      <w:bookmarkStart w:id="45" w:name="_Toc382997006"/>
      <w:r/>
      <w:bookmarkStart w:id="46" w:name="_Toc348784830"/>
      <w:r/>
      <w:bookmarkStart w:id="47" w:name="_Toc348785371"/>
      <w:r/>
      <w:bookmarkStart w:id="48" w:name="_Toc405820407"/>
      <w:r/>
      <w:bookmarkStart w:id="49" w:name="_Toc142194271"/>
      <w:r/>
      <w:bookmarkStart w:id="50" w:name="_Toc348785016"/>
      <w:r/>
      <w:bookmarkStart w:id="51" w:name="_Toc13889376"/>
      <w:r/>
      <w:bookmarkStart w:id="52" w:name="_Toc405820182"/>
      <w:r>
        <w:rPr>
          <w:rFonts w:hint="eastAsia" w:asciiTheme="minorEastAsia" w:hAnsiTheme="minorEastAsia" w:eastAsiaTheme="minorEastAsia" w:cstheme="minorEastAsia"/>
          <w:b/>
          <w:color w:val="auto"/>
          <w:sz w:val="21"/>
          <w:szCs w:val="21"/>
          <w:highlight w:val="none"/>
          <w:lang w:val="en-US" w:eastAsia="zh-CN"/>
        </w:rPr>
        <w:t xml:space="preserve">十一</w:t>
      </w:r>
      <w:r>
        <w:rPr>
          <w:rFonts w:hint="eastAsia" w:asciiTheme="minorEastAsia" w:hAnsiTheme="minorEastAsia" w:eastAsiaTheme="minorEastAsia" w:cstheme="minorEastAsia"/>
          <w:b/>
          <w:color w:val="auto"/>
          <w:sz w:val="21"/>
          <w:szCs w:val="21"/>
          <w:highlight w:val="none"/>
        </w:rPr>
        <w:t xml:space="preserve">、中小企业声明函</w:t>
      </w:r>
      <w:bookmarkEnd w:id="42"/>
      <w:bookmarkEnd w:id="43"/>
      <w:bookmarkEnd w:id="44"/>
      <w:bookmarkEnd w:id="45"/>
      <w:bookmarkEnd w:id="46"/>
      <w:bookmarkEnd w:id="47"/>
      <w:bookmarkEnd w:id="48"/>
      <w:bookmarkEnd w:id="49"/>
      <w:bookmarkEnd w:id="50"/>
      <w:bookmarkEnd w:id="51"/>
      <w:bookmarkEnd w:id="52"/>
      <w:r/>
    </w:p>
    <w:p>
      <w:pPr>
        <w:jc w:val="center"/>
        <w:spacing w:line="360" w:lineRule="auto"/>
        <w:shd w:val="clear" w:color="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中小企业声明函</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货物</w:t>
      </w:r>
      <w:r>
        <w:rPr>
          <w:rFonts w:hint="eastAsia" w:asciiTheme="minorEastAsia" w:hAnsiTheme="minorEastAsia" w:eastAsiaTheme="minorEastAsia" w:cstheme="minorEastAsia"/>
          <w:b/>
          <w:bCs/>
          <w:color w:val="auto"/>
          <w:sz w:val="21"/>
          <w:szCs w:val="21"/>
          <w:highlight w:val="none"/>
          <w:lang w:eastAsia="zh-CN"/>
        </w:rPr>
        <w:t xml:space="preserve">）</w:t>
      </w:r>
      <w:r/>
    </w:p>
    <w:p>
      <w:pPr>
        <w:spacing w:line="360" w:lineRule="auto"/>
        <w:shd w:val="clear" w:color="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eastAsia="zh-CN"/>
        </w:rPr>
        <w:t xml:space="preserve">江苏沃咨咨询管理有限公司</w:t>
      </w:r>
      <w:r>
        <w:rPr>
          <w:rFonts w:hint="eastAsia" w:asciiTheme="minorEastAsia" w:hAnsiTheme="minorEastAsia" w:eastAsiaTheme="minorEastAsia" w:cstheme="minorEastAsia"/>
          <w:color w:val="auto"/>
          <w:sz w:val="21"/>
          <w:szCs w:val="21"/>
          <w:highlight w:val="none"/>
        </w:rPr>
        <w:t xml:space="preserve">：</w:t>
      </w:r>
      <w:r/>
    </w:p>
    <w:p>
      <w:pPr>
        <w:ind w:firstLine="480"/>
        <w:spacing w:line="360" w:lineRule="auto"/>
        <w:shd w:val="clear" w:color="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（含联合体中的中小企业、签订分包意向协议的中小企业）的具体情况如下： </w:t>
      </w:r>
      <w:r/>
    </w:p>
    <w:p>
      <w:pPr>
        <w:ind w:firstLine="480"/>
        <w:spacing w:line="360" w:lineRule="auto"/>
        <w:shd w:val="clear" w:color="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1</w:t>
      </w:r>
      <w:bookmarkStart w:id="53" w:name="_Hlk144455550"/>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u w:val="single"/>
        </w:rPr>
        <w:t xml:space="preserve"> </w:t>
      </w:r>
      <w:r>
        <w:rPr>
          <w:rFonts w:ascii="宋体" w:hAnsi="宋体" w:eastAsia="宋体" w:cs="宋体"/>
          <w:bCs/>
          <w:sz w:val="21"/>
          <w:szCs w:val="21"/>
          <w:highlight w:val="none"/>
          <w:u w:val="single"/>
        </w:rPr>
        <w:t xml:space="preserve">    </w:t>
      </w:r>
      <w:bookmarkEnd w:id="53"/>
      <w:r>
        <w:rPr>
          <w:rFonts w:hint="eastAsia" w:ascii="宋体" w:hAnsi="宋体" w:eastAsia="宋体" w:cs="宋体"/>
          <w:bCs/>
          <w:sz w:val="21"/>
          <w:szCs w:val="21"/>
          <w:highlight w:val="none"/>
        </w:rPr>
        <w:t xml:space="preserve">（标的名称） ，属于（采购文件中明确的所属行业）</w:t>
      </w:r>
      <w:r>
        <w:rPr>
          <w:rFonts w:hint="eastAsia" w:ascii="宋体" w:hAnsi="宋体" w:eastAsia="宋体" w:cs="宋体"/>
          <w:bCs/>
          <w:sz w:val="21"/>
          <w:szCs w:val="21"/>
          <w:highlight w:val="none"/>
          <w:u w:val="single"/>
        </w:rPr>
        <w:t xml:space="preserve"> </w:t>
      </w:r>
      <w:r>
        <w:rPr>
          <w:rFonts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行业；制造商为</w:t>
      </w:r>
      <w:r>
        <w:rPr>
          <w:rFonts w:hint="eastAsia" w:ascii="宋体" w:hAnsi="宋体" w:eastAsia="宋体" w:cs="宋体"/>
          <w:bCs/>
          <w:sz w:val="21"/>
          <w:szCs w:val="21"/>
          <w:highlight w:val="none"/>
          <w:u w:val="single"/>
        </w:rPr>
        <w:t xml:space="preserve"> </w:t>
      </w:r>
      <w:r>
        <w:rPr>
          <w:rFonts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（企业名称），从业人员</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人，营业收入为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万元，资产总额为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万元，属于</w:t>
      </w:r>
      <w:r>
        <w:rPr>
          <w:rFonts w:hint="eastAsia" w:ascii="宋体" w:hAnsi="宋体" w:eastAsia="宋体" w:cs="宋体"/>
          <w:bCs/>
          <w:sz w:val="21"/>
          <w:szCs w:val="21"/>
          <w:highlight w:val="none"/>
          <w:u w:val="single"/>
        </w:rPr>
        <w:t xml:space="preserve"> </w:t>
      </w:r>
      <w:r>
        <w:rPr>
          <w:rFonts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（中型企业、小型企业、微型企业）； </w:t>
      </w:r>
      <w:r/>
    </w:p>
    <w:p>
      <w:pPr>
        <w:ind w:firstLine="480"/>
        <w:spacing w:line="360" w:lineRule="auto"/>
        <w:shd w:val="clear" w:color="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u w:val="single"/>
        </w:rPr>
        <w:t xml:space="preserve"> </w:t>
      </w:r>
      <w:r>
        <w:rPr>
          <w:rFonts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（标的名称） ，属于（采购文件中明确的所属行业）</w:t>
      </w:r>
      <w:r>
        <w:rPr>
          <w:rFonts w:ascii="宋体" w:hAnsi="宋体" w:eastAsia="宋体" w:cs="宋体"/>
          <w:bCs/>
          <w:sz w:val="21"/>
          <w:szCs w:val="21"/>
          <w:highlight w:val="none"/>
        </w:rPr>
        <w:t xml:space="preserve">.</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u w:val="single"/>
        </w:rPr>
        <w:t xml:space="preserve"> </w:t>
      </w:r>
      <w:r>
        <w:rPr>
          <w:rFonts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行业；制造商为</w:t>
      </w:r>
      <w:r>
        <w:rPr>
          <w:rFonts w:hint="eastAsia" w:ascii="宋体" w:hAnsi="宋体" w:eastAsia="宋体" w:cs="宋体"/>
          <w:bCs/>
          <w:sz w:val="21"/>
          <w:szCs w:val="21"/>
          <w:highlight w:val="none"/>
          <w:u w:val="single"/>
        </w:rPr>
        <w:t xml:space="preserve"> </w:t>
      </w:r>
      <w:r>
        <w:rPr>
          <w:rFonts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（企业名称），从业人员</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人，营业收入为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万元，资产总额为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万元，属于</w:t>
      </w:r>
      <w:r>
        <w:rPr>
          <w:rFonts w:hint="eastAsia" w:ascii="宋体" w:hAnsi="宋体" w:eastAsia="宋体" w:cs="宋体"/>
          <w:bCs/>
          <w:sz w:val="21"/>
          <w:szCs w:val="21"/>
          <w:highlight w:val="none"/>
          <w:u w:val="single"/>
        </w:rPr>
        <w:t xml:space="preserve"> </w:t>
      </w:r>
      <w:r>
        <w:rPr>
          <w:rFonts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（中型企业、小型 企业、微型企业）； </w:t>
      </w:r>
      <w:r/>
    </w:p>
    <w:p>
      <w:pPr>
        <w:ind w:firstLine="480"/>
        <w:spacing w:line="360" w:lineRule="auto"/>
        <w:shd w:val="clear" w:color="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w:t>
      </w:r>
      <w:r/>
    </w:p>
    <w:p>
      <w:pPr>
        <w:ind w:firstLine="480"/>
        <w:spacing w:line="360" w:lineRule="auto"/>
        <w:shd w:val="clear" w:color="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以上企业，不属于大企业的分支机构，不存在控股股东 为大企业的情形，也不存在与大企业的负责人为同一人的情形。</w:t>
      </w:r>
      <w:r/>
    </w:p>
    <w:p>
      <w:pPr>
        <w:ind w:firstLine="480"/>
        <w:spacing w:line="360" w:lineRule="auto"/>
        <w:shd w:val="clear" w:color="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本企业对上述声明内容的真实性负责。如有虚假，将依法承担相应责任。 </w:t>
      </w:r>
      <w:r/>
    </w:p>
    <w:p>
      <w:pPr>
        <w:ind w:firstLine="3600"/>
        <w:jc w:val="right"/>
        <w:spacing w:line="360" w:lineRule="auto"/>
        <w:shd w:val="clear" w:color="auto"/>
        <w:rPr>
          <w:rFonts w:ascii="宋体" w:hAnsi="宋体" w:eastAsia="宋体" w:cs="宋体"/>
          <w:sz w:val="21"/>
          <w:szCs w:val="21"/>
          <w:highlight w:val="none"/>
        </w:rPr>
      </w:pPr>
      <w:r>
        <w:rPr>
          <w:rFonts w:ascii="宋体" w:hAnsi="宋体" w:eastAsia="宋体" w:cs="宋体"/>
          <w:sz w:val="21"/>
          <w:szCs w:val="21"/>
          <w:highlight w:val="none"/>
        </w:rPr>
      </w:r>
      <w:r/>
    </w:p>
    <w:p>
      <w:pPr>
        <w:ind w:firstLine="0"/>
        <w:jc w:val="both"/>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企业名称（盖章）： </w:t>
      </w:r>
      <w:r/>
    </w:p>
    <w:p>
      <w:pPr>
        <w:ind w:firstLine="0"/>
        <w:jc w:val="both"/>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p>
    <w:p>
      <w:pPr>
        <w:ind w:firstLine="0"/>
        <w:jc w:val="center"/>
        <w:spacing w:line="360" w:lineRule="auto"/>
        <w:shd w:val="clear" w:color="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p>
      <w:pPr>
        <w:ind w:firstLine="420"/>
        <w:spacing w:line="36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注：1、从业人员、营业收入、资产总额填报上一年度数据，无上一年度数据的新成立企业可不填报。</w:t>
      </w:r>
      <w:r/>
    </w:p>
    <w:p>
      <w:pPr>
        <w:ind w:firstLine="422"/>
        <w:spacing w:line="360" w:lineRule="auto"/>
        <w:shd w:val="clear" w:color="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spacing w:line="36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20"/>
        <w:spacing w:line="36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4、如未对（中型企业、小型企业、微型企业）进行勾选，视同非中小微企业，不可享受相应扶持政策。</w:t>
      </w:r>
      <w:r/>
    </w:p>
    <w:p>
      <w:pPr>
        <w:ind w:firstLine="420"/>
        <w:spacing w:line="360" w:lineRule="auto"/>
        <w:shd w:val="clear" w:color="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5、中标单位享受中小企业扶持政策的，《中小企业声明函》将随成交结果同时公告。</w:t>
      </w:r>
      <w:r/>
    </w:p>
    <w:p>
      <w:pPr>
        <w:shd w:val="clear" w:color="auto"/>
        <w:rPr>
          <w:rFonts w:hint="eastAsia" w:ascii="宋体" w:hAnsi="宋体" w:eastAsia="宋体" w:cs="宋体"/>
          <w:b/>
          <w:color w:val="000000"/>
          <w:sz w:val="20"/>
          <w:highlight w:val="none"/>
        </w:rPr>
      </w:pPr>
      <w:r>
        <w:rPr>
          <w:rFonts w:hint="eastAsia" w:ascii="宋体" w:hAnsi="宋体" w:eastAsia="宋体" w:cs="宋体"/>
          <w:b/>
          <w:color w:val="000000"/>
          <w:sz w:val="20"/>
          <w:highlight w:val="none"/>
        </w:rPr>
        <w:br w:type="page" w:clear="all"/>
      </w:r>
      <w:r/>
    </w:p>
    <w:p>
      <w:pPr>
        <w:spacing w:line="280" w:lineRule="exact"/>
        <w:shd w:val="clear" w:color="auto"/>
        <w:rPr>
          <w:rFonts w:hint="eastAsia" w:ascii="宋体" w:hAnsi="宋体" w:eastAsia="宋体" w:cs="宋体"/>
          <w:b/>
          <w:color w:val="000000"/>
          <w:sz w:val="20"/>
          <w:highlight w:val="none"/>
        </w:rPr>
      </w:pPr>
      <w:r>
        <w:rPr>
          <w:rFonts w:hint="eastAsia" w:ascii="宋体" w:hAnsi="宋体" w:eastAsia="宋体" w:cs="宋体"/>
          <w:b/>
          <w:color w:val="000000"/>
          <w:sz w:val="20"/>
          <w:highlight w:val="none"/>
        </w:rPr>
        <w:t xml:space="preserve">附：中小企业划型标准规定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（一）农、林、牧、渔业。</w:t>
      </w:r>
      <w:r>
        <w:rPr>
          <w:rFonts w:hint="eastAsia" w:ascii="宋体" w:hAnsi="宋体" w:eastAsia="宋体" w:cs="宋体"/>
          <w:color w:val="000000"/>
          <w:sz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（二）工业。</w:t>
      </w:r>
      <w:r>
        <w:rPr>
          <w:rFonts w:hint="eastAsia" w:ascii="宋体" w:hAnsi="宋体" w:eastAsia="宋体" w:cs="宋体"/>
          <w:color w:val="000000"/>
          <w:sz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（三）建筑业。</w:t>
      </w:r>
      <w:r>
        <w:rPr>
          <w:rFonts w:hint="eastAsia" w:ascii="宋体" w:hAnsi="宋体" w:eastAsia="宋体" w:cs="宋体"/>
          <w:color w:val="000000"/>
          <w:sz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（四）批发业。</w:t>
      </w:r>
      <w:r>
        <w:rPr>
          <w:rFonts w:hint="eastAsia" w:ascii="宋体" w:hAnsi="宋体" w:eastAsia="宋体" w:cs="宋体"/>
          <w:color w:val="000000"/>
          <w:sz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（五）零售业。</w:t>
      </w:r>
      <w:r>
        <w:rPr>
          <w:rFonts w:hint="eastAsia" w:ascii="宋体" w:hAnsi="宋体" w:eastAsia="宋体" w:cs="宋体"/>
          <w:color w:val="000000"/>
          <w:sz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（六）交通运输业。</w:t>
      </w:r>
      <w:r>
        <w:rPr>
          <w:rFonts w:hint="eastAsia" w:ascii="宋体" w:hAnsi="宋体" w:eastAsia="宋体" w:cs="宋体"/>
          <w:color w:val="000000"/>
          <w:sz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（七）仓储业。</w:t>
      </w:r>
      <w:r>
        <w:rPr>
          <w:rFonts w:hint="eastAsia" w:ascii="宋体" w:hAnsi="宋体" w:eastAsia="宋体" w:cs="宋体"/>
          <w:color w:val="000000"/>
          <w:sz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（八）邮政业。</w:t>
      </w:r>
      <w:r>
        <w:rPr>
          <w:rFonts w:hint="eastAsia" w:ascii="宋体" w:hAnsi="宋体" w:eastAsia="宋体" w:cs="宋体"/>
          <w:color w:val="000000"/>
          <w:sz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（九）住宿业。</w:t>
      </w:r>
      <w:r>
        <w:rPr>
          <w:rFonts w:hint="eastAsia" w:ascii="宋体" w:hAnsi="宋体" w:eastAsia="宋体" w:cs="宋体"/>
          <w:color w:val="000000"/>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（十）餐饮业。</w:t>
      </w:r>
      <w:r>
        <w:rPr>
          <w:rFonts w:hint="eastAsia" w:ascii="宋体" w:hAnsi="宋体" w:eastAsia="宋体" w:cs="宋体"/>
          <w:color w:val="000000"/>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（十一）信息传输业。</w:t>
      </w:r>
      <w:r>
        <w:rPr>
          <w:rFonts w:hint="eastAsia" w:ascii="宋体" w:hAnsi="宋体" w:eastAsia="宋体" w:cs="宋体"/>
          <w:color w:val="000000"/>
          <w:sz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（十二）软件和信息技术服务业。</w:t>
      </w:r>
      <w:r>
        <w:rPr>
          <w:rFonts w:hint="eastAsia" w:ascii="宋体" w:hAnsi="宋体" w:eastAsia="宋体" w:cs="宋体"/>
          <w:color w:val="000000"/>
          <w:sz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（十三）房地产开发经营。</w:t>
      </w:r>
      <w:r>
        <w:rPr>
          <w:rFonts w:hint="eastAsia" w:ascii="宋体" w:hAnsi="宋体" w:eastAsia="宋体" w:cs="宋体"/>
          <w:color w:val="000000"/>
          <w:sz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（十四）物业管理。</w:t>
      </w:r>
      <w:r>
        <w:rPr>
          <w:rFonts w:hint="eastAsia" w:ascii="宋体" w:hAnsi="宋体" w:eastAsia="宋体" w:cs="宋体"/>
          <w:color w:val="000000"/>
          <w:sz w:val="20"/>
          <w:highlight w:val="none"/>
        </w:rPr>
        <w:t xml:space="preserve">从业人员1000人以下或营业收入5000万元以下的为中小微型企业。其中，从业人员</w:t>
      </w:r>
      <w:r/>
    </w:p>
    <w:p>
      <w:pPr>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（十五）租赁和商务服务业。</w:t>
      </w:r>
      <w:r>
        <w:rPr>
          <w:rFonts w:hint="eastAsia" w:ascii="宋体" w:hAnsi="宋体" w:eastAsia="宋体" w:cs="宋体"/>
          <w:color w:val="000000"/>
          <w:sz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shd w:val="clear" w:color="auto"/>
        <w:rPr>
          <w:rFonts w:hint="eastAsia" w:ascii="宋体" w:hAnsi="宋体" w:eastAsia="宋体" w:cs="宋体"/>
          <w:color w:val="000000"/>
          <w:sz w:val="20"/>
          <w:highlight w:val="none"/>
        </w:rPr>
      </w:pPr>
      <w:r>
        <w:rPr>
          <w:rFonts w:hint="eastAsia" w:ascii="宋体" w:hAnsi="宋体" w:eastAsia="宋体" w:cs="宋体"/>
          <w:b/>
          <w:color w:val="000000"/>
          <w:sz w:val="20"/>
          <w:highlight w:val="none"/>
        </w:rPr>
        <w:t xml:space="preserve">（十六）其他未列明行业。</w:t>
      </w:r>
      <w:r>
        <w:rPr>
          <w:rFonts w:hint="eastAsia" w:ascii="宋体" w:hAnsi="宋体" w:eastAsia="宋体" w:cs="宋体"/>
          <w:color w:val="000000"/>
          <w:sz w:val="20"/>
          <w:highlight w:val="none"/>
        </w:rPr>
        <w:t xml:space="preserve">从业人员300人以下的为中小微型企业。其中，从业人员100人及以上的为中型企业；从业人员10人及以上的为小型企业；从业人员10人以下的为微型企业。</w:t>
      </w:r>
      <w:r/>
    </w:p>
    <w:p>
      <w:pPr>
        <w:shd w:val="clear" w:color="auto"/>
        <w:rPr>
          <w:rFonts w:hint="eastAsia" w:asciiTheme="minorEastAsia" w:hAnsiTheme="minorEastAsia" w:eastAsiaTheme="minorEastAsia" w:cstheme="minorEastAsia"/>
          <w:color w:val="auto"/>
          <w:sz w:val="21"/>
          <w:szCs w:val="21"/>
          <w:highlight w:val="none"/>
        </w:rPr>
      </w:pPr>
      <w:r>
        <w:rPr>
          <w:rFonts w:ascii="宋体" w:hAnsi="宋体" w:cs="宋体"/>
          <w:b/>
          <w:bCs/>
          <w:szCs w:val="21"/>
          <w:highlight w:val="none"/>
        </w:rPr>
        <w:br w:type="page" w:clear="all"/>
      </w:r>
      <w:r/>
    </w:p>
    <w:p>
      <w:pPr>
        <w:pStyle w:val="756"/>
        <w:jc w:val="left"/>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十</w:t>
      </w:r>
      <w:r>
        <w:rPr>
          <w:rFonts w:hint="eastAsia" w:asciiTheme="minorEastAsia" w:hAnsiTheme="minorEastAsia" w:eastAsiaTheme="minorEastAsia" w:cstheme="minorEastAsia"/>
          <w:b/>
          <w:color w:val="auto"/>
          <w:sz w:val="21"/>
          <w:szCs w:val="21"/>
          <w:highlight w:val="none"/>
          <w:lang w:val="en-US" w:eastAsia="zh-CN"/>
        </w:rPr>
        <w:t xml:space="preserve">二</w:t>
      </w:r>
      <w:r>
        <w:rPr>
          <w:rFonts w:hint="eastAsia" w:asciiTheme="minorEastAsia" w:hAnsiTheme="minorEastAsia" w:eastAsiaTheme="minorEastAsia" w:cstheme="minorEastAsia"/>
          <w:b/>
          <w:color w:val="auto"/>
          <w:sz w:val="21"/>
          <w:szCs w:val="21"/>
          <w:highlight w:val="none"/>
        </w:rPr>
        <w:t xml:space="preserve">、残疾人福利性单位声明函</w:t>
      </w:r>
      <w:r/>
    </w:p>
    <w:p>
      <w:pPr>
        <w:jc w:val="left"/>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left"/>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center"/>
        <w:spacing w:line="360" w:lineRule="auto"/>
        <w:shd w:val="clear" w:color="auto"/>
        <w:rPr>
          <w:rFonts w:hint="eastAsia" w:asciiTheme="minorEastAsia" w:hAnsiTheme="minorEastAsia" w:eastAsiaTheme="minorEastAsia" w:cstheme="minorEastAsia"/>
          <w:color w:val="auto"/>
          <w:sz w:val="24"/>
          <w:szCs w:val="24"/>
          <w:highlight w:val="none"/>
          <w:u w:val="single"/>
          <w:lang w:val="zh-CN"/>
        </w:rPr>
      </w:pPr>
      <w:r>
        <w:rPr>
          <w:rFonts w:hint="eastAsia" w:asciiTheme="minorEastAsia" w:hAnsiTheme="minorEastAsia" w:eastAsiaTheme="minorEastAsia" w:cstheme="minorEastAsia"/>
          <w:b/>
          <w:color w:val="auto"/>
          <w:sz w:val="24"/>
          <w:szCs w:val="24"/>
          <w:highlight w:val="none"/>
          <w:lang w:val="zh-CN"/>
        </w:rPr>
        <w:t xml:space="preserve">残疾人福利性单位声明函</w:t>
      </w:r>
      <w:r/>
    </w:p>
    <w:p>
      <w:pPr>
        <w:jc w:val="center"/>
        <w:spacing w:line="360" w:lineRule="auto"/>
        <w:shd w:val="clear" w:color="auto"/>
        <w:rPr>
          <w:rFonts w:hint="eastAsia" w:asciiTheme="minorEastAsia" w:hAnsiTheme="minorEastAsia" w:eastAsiaTheme="minorEastAsia" w:cstheme="minorEastAsia"/>
          <w:color w:val="auto"/>
          <w:sz w:val="24"/>
          <w:szCs w:val="24"/>
          <w:highlight w:val="none"/>
          <w:u w:val="single"/>
          <w:lang w:val="zh-CN"/>
        </w:rPr>
      </w:pPr>
      <w:r>
        <w:rPr>
          <w:rFonts w:hint="eastAsia" w:asciiTheme="minorEastAsia" w:hAnsiTheme="minorEastAsia" w:eastAsiaTheme="minorEastAsia" w:cstheme="minorEastAsia"/>
          <w:color w:val="auto"/>
          <w:sz w:val="24"/>
          <w:szCs w:val="24"/>
          <w:highlight w:val="none"/>
          <w:u w:val="single"/>
          <w:lang w:val="zh-CN"/>
        </w:rPr>
      </w:r>
      <w:r/>
    </w:p>
    <w:p>
      <w:pPr>
        <w:spacing w:line="360" w:lineRule="auto"/>
        <w:shd w:val="clear" w:color="auto"/>
        <w:rPr>
          <w:rFonts w:hint="eastAsia" w:asciiTheme="minorEastAsia" w:hAnsiTheme="minorEastAsia" w:eastAsiaTheme="minorEastAsia" w:cstheme="minorEastAsia"/>
          <w:color w:val="auto"/>
          <w:sz w:val="21"/>
          <w:szCs w:val="24"/>
          <w:highlight w:val="none"/>
          <w:lang w:val="zh-CN"/>
        </w:rPr>
      </w:pPr>
      <w:r>
        <w:rPr>
          <w:rFonts w:hint="eastAsia" w:asciiTheme="minorEastAsia" w:hAnsiTheme="minorEastAsia" w:eastAsiaTheme="minorEastAsia" w:cstheme="minorEastAsia"/>
          <w:color w:val="auto"/>
          <w:sz w:val="21"/>
          <w:szCs w:val="24"/>
          <w:highlight w:val="none"/>
          <w:u w:val="single"/>
          <w:lang w:val="zh-CN"/>
        </w:rPr>
        <w:t xml:space="preserve">江苏沃咨咨询管理有限公司</w:t>
      </w:r>
      <w:r>
        <w:rPr>
          <w:rFonts w:hint="eastAsia" w:asciiTheme="minorEastAsia" w:hAnsiTheme="minorEastAsia" w:eastAsiaTheme="minorEastAsia" w:cstheme="minorEastAsia"/>
          <w:color w:val="auto"/>
          <w:sz w:val="21"/>
          <w:szCs w:val="24"/>
          <w:highlight w:val="none"/>
          <w:lang w:val="zh-CN"/>
        </w:rPr>
        <w:t xml:space="preserve">：</w:t>
      </w:r>
      <w:r/>
    </w:p>
    <w:p>
      <w:pPr>
        <w:jc w:val="left"/>
        <w:spacing w:line="360" w:lineRule="auto"/>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投标人：（盖章）</w:t>
      </w:r>
      <w:r/>
    </w:p>
    <w:p>
      <w:pPr>
        <w:pStyle w:val="756"/>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日期：年 月 日</w:t>
      </w:r>
      <w:r/>
    </w:p>
    <w:p>
      <w:pPr>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56"/>
        <w:jc w:val="left"/>
        <w:spacing w:line="360" w:lineRule="auto"/>
        <w:shd w:val="clear" w:color="auto"/>
        <w:rPr>
          <w:rFonts w:hint="eastAsia" w:asciiTheme="minorEastAsia" w:hAnsiTheme="minorEastAsia" w:eastAsiaTheme="minorEastAsia" w:cstheme="minorEastAsia"/>
          <w:b/>
          <w:color w:val="auto"/>
          <w:sz w:val="21"/>
          <w:szCs w:val="21"/>
          <w:highlight w:val="none"/>
        </w:rPr>
      </w:pPr>
      <w:r/>
      <w:bookmarkStart w:id="54" w:name="_Toc35951274"/>
      <w:r>
        <w:rPr>
          <w:rFonts w:hint="eastAsia" w:asciiTheme="minorEastAsia" w:hAnsiTheme="minorEastAsia" w:eastAsiaTheme="minorEastAsia" w:cstheme="minorEastAsia"/>
          <w:b/>
          <w:color w:val="auto"/>
          <w:sz w:val="21"/>
          <w:szCs w:val="21"/>
          <w:highlight w:val="none"/>
        </w:rPr>
        <w:br w:type="page" w:clear="all"/>
      </w:r>
      <w:r>
        <w:rPr>
          <w:rFonts w:hint="eastAsia" w:asciiTheme="minorEastAsia" w:hAnsiTheme="minorEastAsia" w:eastAsiaTheme="minorEastAsia" w:cstheme="minorEastAsia"/>
          <w:b/>
          <w:color w:val="auto"/>
          <w:sz w:val="21"/>
          <w:szCs w:val="21"/>
          <w:highlight w:val="none"/>
        </w:rPr>
        <w:t xml:space="preserve">十</w:t>
      </w:r>
      <w:r>
        <w:rPr>
          <w:rFonts w:hint="eastAsia" w:asciiTheme="minorEastAsia" w:hAnsiTheme="minorEastAsia" w:eastAsiaTheme="minorEastAsia" w:cstheme="minorEastAsia"/>
          <w:b/>
          <w:color w:val="auto"/>
          <w:sz w:val="21"/>
          <w:szCs w:val="21"/>
          <w:highlight w:val="none"/>
          <w:lang w:val="en-US" w:eastAsia="zh-CN"/>
        </w:rPr>
        <w:t xml:space="preserve">三</w:t>
      </w:r>
      <w:r>
        <w:rPr>
          <w:rFonts w:hint="eastAsia" w:asciiTheme="minorEastAsia" w:hAnsiTheme="minorEastAsia" w:eastAsiaTheme="minorEastAsia" w:cstheme="minorEastAsia"/>
          <w:b/>
          <w:color w:val="auto"/>
          <w:sz w:val="21"/>
          <w:szCs w:val="21"/>
          <w:highlight w:val="none"/>
        </w:rPr>
        <w:t xml:space="preserve">、投标保证承诺书</w:t>
      </w:r>
      <w:r/>
    </w:p>
    <w:p>
      <w:pPr>
        <w:spacing w:line="333" w:lineRule="atLeast"/>
        <w:shd w:val="clear" w:color="auto"/>
        <w:rPr>
          <w:rFonts w:hint="eastAsia" w:asciiTheme="minorEastAsia" w:hAnsiTheme="minorEastAsia" w:eastAsiaTheme="minorEastAsia" w:cstheme="minorEastAsia"/>
          <w:color w:val="auto"/>
          <w:sz w:val="13"/>
          <w:szCs w:val="13"/>
          <w:highlight w:val="none"/>
        </w:rPr>
      </w:pPr>
      <w:r>
        <w:rPr>
          <w:rFonts w:hint="eastAsia" w:asciiTheme="minorEastAsia" w:hAnsiTheme="minorEastAsia" w:eastAsiaTheme="minorEastAsia" w:cstheme="minorEastAsia"/>
          <w:color w:val="auto"/>
          <w:sz w:val="13"/>
          <w:szCs w:val="13"/>
          <w:highlight w:val="none"/>
        </w:rPr>
      </w:r>
      <w:r/>
    </w:p>
    <w:p>
      <w:pPr>
        <w:jc w:val="center"/>
        <w:spacing w:line="360" w:lineRule="auto"/>
        <w:shd w:val="clear" w:color="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投标保证承诺书</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致：</w:t>
      </w:r>
      <w:r>
        <w:rPr>
          <w:rFonts w:hint="eastAsia" w:asciiTheme="minorEastAsia" w:hAnsiTheme="minorEastAsia" w:eastAsiaTheme="minorEastAsia" w:cstheme="minorEastAsia"/>
          <w:color w:val="auto"/>
          <w:sz w:val="21"/>
          <w:szCs w:val="24"/>
          <w:highlight w:val="none"/>
          <w:u w:val="single"/>
          <w:lang w:val="zh-CN"/>
        </w:rPr>
        <w:t xml:space="preserve">江苏沃咨咨询管理有限公司</w:t>
      </w:r>
      <w:r>
        <w:rPr>
          <w:rFonts w:hint="eastAsia" w:asciiTheme="minorEastAsia" w:hAnsiTheme="minorEastAsia" w:eastAsiaTheme="minorEastAsia" w:cstheme="minorEastAsia"/>
          <w:color w:val="auto"/>
          <w:sz w:val="21"/>
          <w:szCs w:val="21"/>
          <w:highlight w:val="none"/>
        </w:rPr>
        <w:t xml:space="preserve">我（单位/本人，以下统称我单位）自愿参加（项目名称和采购编号）的投标,并做出如下承诺：</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一、除不可抗力外，我单位如果发生以下行为，将在行为发生的10个工作日内，向贵方支付本采购文件公布的预算金额的2%作为违约赔偿金。</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1.自投标截止时间至本项目发布中标公告为止，撤销投标；</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2.中标后不依法与采购人签订合同；</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3.中标后不按本采购文件规定向采购人提交履约保证金；</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4.中标后不按本采购文件规定向贵方缴纳采购代理费。</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二、我单位知晓上述行为的法律后果，承认本承诺书作为贵方要求我单位履行违约赔偿义务的依据作用。</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投标人：（盖章）</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 </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传真：</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电子邮件： </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邮编：</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p>
    <w:p>
      <w:pPr>
        <w:shd w:val="clear" w:color="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br w:type="page" w:clear="all"/>
      </w:r>
      <w:r/>
    </w:p>
    <w:p>
      <w:pPr>
        <w:shd w:val="clear" w:color="auto"/>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lang w:val="en-US" w:eastAsia="zh-CN"/>
        </w:rPr>
        <w:t xml:space="preserve">十四、</w:t>
      </w:r>
      <w:r>
        <w:rPr>
          <w:rFonts w:hint="eastAsia" w:asciiTheme="minorEastAsia" w:hAnsiTheme="minorEastAsia" w:eastAsiaTheme="minorEastAsia" w:cstheme="minorEastAsia"/>
          <w:b/>
          <w:bCs w:val="0"/>
          <w:color w:val="auto"/>
          <w:sz w:val="21"/>
          <w:szCs w:val="21"/>
          <w:highlight w:val="none"/>
        </w:rPr>
        <w:t xml:space="preserve">供应商与其他单位存在控股、管理关系情况表</w:t>
      </w:r>
      <w:r/>
    </w:p>
    <w:p>
      <w:pPr>
        <w:ind w:firstLine="482"/>
        <w:jc w:val="left"/>
        <w:shd w:val="clear" w:color="auto"/>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ind w:firstLine="482"/>
        <w:jc w:val="center"/>
        <w:shd w:val="clear" w:color="auto"/>
        <w:widowControl/>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 xml:space="preserve">供应商与其他单位存在控股、管理关系情况表</w:t>
      </w:r>
      <w:r/>
    </w:p>
    <w:p>
      <w:pPr>
        <w:jc w:val="left"/>
        <w:shd w:val="clear" w:color="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bl>
      <w:tblPr>
        <w:tblStyle w:val="736"/>
        <w:tblW w:w="90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与响应供应商存在控股、管理关系的单位名称</w:t>
            </w:r>
            <w:r/>
          </w:p>
        </w:tc>
        <w:tc>
          <w:tcPr>
            <w:tcW w:w="4160" w:type="dxa"/>
            <w:vAlign w:val="center"/>
            <w:textDirection w:val="lrTb"/>
            <w:noWrap w:val="false"/>
          </w:tcPr>
          <w:p>
            <w:pPr>
              <w:jc w:val="center"/>
              <w:shd w:val="clear" w:color="auto"/>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控股、管理关系情况说明</w:t>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4160"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4160"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4160"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4160"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4160"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4160" w:type="dxa"/>
            <w:vAlign w:val="center"/>
            <w:textDirection w:val="lrTb"/>
            <w:noWrap w:val="false"/>
          </w:tcPr>
          <w:p>
            <w:pPr>
              <w:jc w:val="center"/>
              <w:shd w:val="clear" w:color="auto"/>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r>
    </w:tbl>
    <w:p>
      <w:pPr>
        <w:ind w:firstLine="422"/>
        <w:spacing w:line="360" w:lineRule="auto"/>
        <w:shd w:val="clear" w:color="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注：供应商应当按实填写所有与之有控股、管理关系的情况</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否则，投标文件将因资格性条件不符而被拒绝</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供应商：（单位盖章）</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ind w:firstLine="420"/>
        <w:spacing w:line="360"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pStyle w:val="742"/>
        <w:shd w:val="clear" w:color="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43"/>
        <w:ind w:firstLine="480"/>
        <w:jc w:val="left"/>
        <w:spacing w:line="360" w:lineRule="auto"/>
        <w:shd w:val="clear" w:color="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jc w:val="center"/>
        <w:spacing w:line="360" w:lineRule="auto"/>
        <w:shd w:val="clear" w:color="auto"/>
        <w:rPr>
          <w:rFonts w:hint="eastAsia" w:asciiTheme="minorEastAsia" w:hAnsiTheme="minorEastAsia" w:eastAsiaTheme="minorEastAsia" w:cstheme="minorEastAsia"/>
          <w:b/>
          <w:color w:val="auto"/>
          <w:sz w:val="32"/>
          <w:szCs w:val="32"/>
          <w:highlight w:val="none"/>
        </w:rPr>
        <w:outlineLvl w:val="0"/>
      </w:pPr>
      <w:r>
        <w:rPr>
          <w:rFonts w:hint="eastAsia" w:asciiTheme="minorEastAsia" w:hAnsiTheme="minorEastAsia" w:eastAsiaTheme="minorEastAsia" w:cstheme="minorEastAsia"/>
          <w:b/>
          <w:color w:val="auto"/>
          <w:sz w:val="32"/>
          <w:szCs w:val="32"/>
          <w:highlight w:val="none"/>
        </w:rPr>
        <w:br w:type="page" w:clear="all"/>
      </w:r>
      <w:bookmarkEnd w:id="32"/>
      <w:r/>
      <w:bookmarkEnd w:id="54"/>
      <w:r/>
      <w:bookmarkStart w:id="55" w:name="_Toc35951275"/>
      <w:r/>
      <w:bookmarkStart w:id="56" w:name="_Toc488677788"/>
      <w:r/>
      <w:bookmarkStart w:id="57" w:name="_Toc501527304"/>
      <w:r>
        <w:rPr>
          <w:rFonts w:hint="eastAsia" w:asciiTheme="minorEastAsia" w:hAnsiTheme="minorEastAsia" w:eastAsiaTheme="minorEastAsia" w:cstheme="minorEastAsia"/>
          <w:b/>
          <w:color w:val="auto"/>
          <w:sz w:val="32"/>
          <w:szCs w:val="32"/>
          <w:highlight w:val="none"/>
        </w:rPr>
        <w:t xml:space="preserve">第四章 招标书</w:t>
      </w:r>
      <w:r/>
    </w:p>
    <w:p>
      <w:pPr>
        <w:ind w:firstLine="420"/>
        <w:spacing w:line="360" w:lineRule="auto"/>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江苏沃咨咨询管理有限公司</w:t>
      </w:r>
      <w:r>
        <w:rPr>
          <w:rFonts w:hint="eastAsia" w:asciiTheme="minorEastAsia" w:hAnsiTheme="minorEastAsia" w:eastAsiaTheme="minorEastAsia" w:cstheme="minorEastAsia"/>
          <w:color w:val="auto"/>
          <w:sz w:val="21"/>
          <w:szCs w:val="21"/>
          <w:highlight w:val="none"/>
        </w:rPr>
        <w:t xml:space="preserve">受</w:t>
      </w:r>
      <w:r>
        <w:rPr>
          <w:rFonts w:hint="eastAsia" w:asciiTheme="minorEastAsia" w:hAnsiTheme="minorEastAsia" w:eastAsiaTheme="minorEastAsia" w:cstheme="minorEastAsia"/>
          <w:color w:val="auto"/>
          <w:sz w:val="21"/>
          <w:szCs w:val="21"/>
          <w:highlight w:val="none"/>
          <w:lang w:eastAsia="zh-CN"/>
        </w:rPr>
        <w:t xml:space="preserve">苏州相城经济技术开发区管理委员会</w:t>
      </w:r>
      <w:r>
        <w:rPr>
          <w:rFonts w:hint="eastAsia" w:asciiTheme="minorEastAsia" w:hAnsiTheme="minorEastAsia" w:eastAsiaTheme="minorEastAsia" w:cstheme="minorEastAsia"/>
          <w:color w:val="auto"/>
          <w:sz w:val="21"/>
          <w:szCs w:val="21"/>
          <w:highlight w:val="none"/>
        </w:rPr>
        <w:t xml:space="preserve">的委托，就其所需的</w:t>
      </w:r>
      <w:r>
        <w:rPr>
          <w:rFonts w:hint="eastAsia" w:asciiTheme="minorEastAsia" w:hAnsiTheme="minorEastAsia" w:eastAsiaTheme="minorEastAsia" w:cstheme="minorEastAsia"/>
          <w:color w:val="auto"/>
          <w:sz w:val="21"/>
          <w:szCs w:val="21"/>
          <w:highlight w:val="none"/>
          <w:lang w:eastAsia="zh-CN"/>
        </w:rPr>
        <w:t xml:space="preserve">相城区澄阳片区交管技防设施提升项目</w:t>
      </w:r>
      <w:r>
        <w:rPr>
          <w:rFonts w:hint="eastAsia" w:asciiTheme="minorEastAsia" w:hAnsiTheme="minorEastAsia" w:eastAsiaTheme="minorEastAsia" w:cstheme="minorEastAsia"/>
          <w:color w:val="auto"/>
          <w:sz w:val="21"/>
          <w:szCs w:val="21"/>
          <w:highlight w:val="none"/>
        </w:rPr>
        <w:t xml:space="preserve">进行国内公开招标。欢迎符合资格条件的供应商前来参加投标。</w:t>
      </w:r>
      <w:r/>
    </w:p>
    <w:p>
      <w:pPr>
        <w:ind w:firstLine="422"/>
        <w:spacing w:line="360" w:lineRule="auto"/>
        <w:shd w:val="clear" w:color="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一、采购编号：</w:t>
      </w:r>
      <w:r>
        <w:rPr>
          <w:rFonts w:hint="eastAsia" w:asciiTheme="minorEastAsia" w:hAnsiTheme="minorEastAsia" w:eastAsiaTheme="minorEastAsia" w:cstheme="minorEastAsia"/>
          <w:color w:val="auto"/>
          <w:sz w:val="21"/>
          <w:szCs w:val="21"/>
          <w:highlight w:val="none"/>
          <w:lang w:eastAsia="zh-CN"/>
        </w:rPr>
        <w:t xml:space="preserve">JSZC-320507-JSWZ-G2025-0025</w:t>
      </w:r>
      <w:r/>
    </w:p>
    <w:p>
      <w:pPr>
        <w:ind w:firstLine="422"/>
        <w:spacing w:line="360" w:lineRule="auto"/>
        <w:shd w:val="clear" w:color="auto"/>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二、采购项目名称：</w:t>
      </w:r>
      <w:r>
        <w:rPr>
          <w:rFonts w:hint="eastAsia" w:asciiTheme="minorEastAsia" w:hAnsiTheme="minorEastAsia" w:eastAsiaTheme="minorEastAsia" w:cstheme="minorEastAsia"/>
          <w:color w:val="auto"/>
          <w:sz w:val="21"/>
          <w:szCs w:val="21"/>
          <w:highlight w:val="none"/>
          <w:lang w:eastAsia="zh-CN"/>
        </w:rPr>
        <w:t xml:space="preserve">相城区澄阳片区交管技防设施提升项目</w:t>
      </w:r>
      <w:r/>
    </w:p>
    <w:p>
      <w:pPr>
        <w:ind w:firstLine="422"/>
        <w:spacing w:line="360" w:lineRule="auto"/>
        <w:shd w:val="clear" w:color="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三、采购预算：</w:t>
      </w:r>
      <w:r>
        <w:rPr>
          <w:rFonts w:hint="eastAsia" w:asciiTheme="minorEastAsia" w:hAnsiTheme="minorEastAsia" w:eastAsiaTheme="minorEastAsia" w:cstheme="minorEastAsia"/>
          <w:color w:val="auto"/>
          <w:sz w:val="21"/>
          <w:szCs w:val="21"/>
          <w:highlight w:val="none"/>
          <w:lang w:val="zh-CN"/>
        </w:rPr>
        <w:t xml:space="preserve">人民币肆佰柒拾陆万捌仟陆佰伍拾柒元玖角贰分（小写：4768657.92元）</w:t>
      </w:r>
      <w:r/>
    </w:p>
    <w:p>
      <w:pPr>
        <w:ind w:firstLine="422"/>
        <w:spacing w:line="360" w:lineRule="auto"/>
        <w:shd w:val="clear" w:color="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四、交货</w:t>
      </w:r>
      <w:r>
        <w:rPr>
          <w:rFonts w:hint="eastAsia" w:asciiTheme="minorEastAsia" w:hAnsiTheme="minorEastAsia" w:eastAsiaTheme="minorEastAsia" w:cstheme="minorEastAsia"/>
          <w:b/>
          <w:bCs/>
          <w:color w:val="auto"/>
          <w:sz w:val="21"/>
          <w:szCs w:val="21"/>
          <w:highlight w:val="none"/>
        </w:rPr>
        <w:t xml:space="preserve">期限：</w:t>
      </w:r>
      <w:r>
        <w:rPr>
          <w:rFonts w:hint="eastAsia" w:asciiTheme="minorEastAsia" w:hAnsiTheme="minorEastAsia" w:eastAsiaTheme="minorEastAsia" w:cstheme="minorEastAsia"/>
          <w:color w:val="auto"/>
          <w:sz w:val="21"/>
          <w:szCs w:val="21"/>
          <w:highlight w:val="none"/>
          <w:lang w:eastAsia="zh-CN"/>
        </w:rPr>
        <w:t xml:space="preserve">合同签订生效后90天内交付并完成安装调试</w:t>
      </w:r>
      <w:r>
        <w:rPr>
          <w:rFonts w:hint="eastAsia" w:asciiTheme="minorEastAsia" w:hAnsiTheme="minorEastAsia" w:eastAsiaTheme="minorEastAsia" w:cstheme="minorEastAsia"/>
          <w:color w:val="auto"/>
          <w:sz w:val="21"/>
          <w:szCs w:val="21"/>
          <w:highlight w:val="none"/>
        </w:rPr>
        <w:t xml:space="preserve">。</w:t>
      </w:r>
      <w:r/>
    </w:p>
    <w:p>
      <w:pPr>
        <w:ind w:firstLine="422"/>
        <w:spacing w:line="360" w:lineRule="auto"/>
        <w:shd w:val="clear" w:color="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五</w:t>
      </w:r>
      <w:r>
        <w:rPr>
          <w:rFonts w:hint="eastAsia" w:asciiTheme="minorEastAsia" w:hAnsiTheme="minorEastAsia" w:eastAsiaTheme="minorEastAsia" w:cstheme="minorEastAsia"/>
          <w:b/>
          <w:bCs/>
          <w:color w:val="auto"/>
          <w:sz w:val="21"/>
          <w:szCs w:val="21"/>
          <w:highlight w:val="none"/>
          <w:lang w:val="en-US" w:eastAsia="zh-CN"/>
        </w:rPr>
      </w:r>
      <w:r>
        <w:rPr>
          <w:rFonts w:hint="eastAsia" w:asciiTheme="minorEastAsia" w:hAnsiTheme="minorEastAsia" w:eastAsiaTheme="minorEastAsia" w:cstheme="minorEastAsia"/>
          <w:b/>
          <w:bCs/>
          <w:color w:val="auto"/>
          <w:sz w:val="21"/>
          <w:szCs w:val="21"/>
          <w:highlight w:val="none"/>
        </w:rPr>
        <w:t xml:space="preserve">、采购需求：</w:t>
      </w:r>
      <w:r/>
    </w:p>
    <w:p>
      <w:pPr>
        <w:ind w:firstLine="422"/>
        <w:spacing w:line="360" w:lineRule="auto"/>
        <w:shd w:val="clear" w:color="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（一）采购清单及技术要求：</w:t>
      </w:r>
      <w:r/>
    </w:p>
    <w:tbl>
      <w:tblPr>
        <w:tblStyle w:val="736"/>
        <w:tblW w:w="9324"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029"/>
        <w:gridCol w:w="1874"/>
        <w:gridCol w:w="4705"/>
        <w:gridCol w:w="531"/>
        <w:gridCol w:w="574"/>
        <w:gridCol w:w="611"/>
      </w:tblGrid>
      <w:tr>
        <w:trPr>
          <w:trHeight w:val="66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b/>
                <w:bCs w:val="0"/>
                <w:i w:val="0"/>
                <w:color w:val="000000"/>
                <w:sz w:val="21"/>
                <w:szCs w:val="21"/>
                <w:u w:val="none"/>
              </w:rPr>
              <w:suppressLineNumbers w:val="0"/>
            </w:pPr>
            <w:r>
              <w:rPr>
                <w:rFonts w:hint="eastAsia" w:ascii="宋体" w:hAnsi="宋体" w:eastAsia="宋体" w:cs="宋体"/>
                <w:b/>
                <w:bCs w:val="0"/>
                <w:i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center"/>
              <w:keepLines w:val="0"/>
              <w:keepNext w:val="0"/>
              <w:widowControl/>
              <w:rPr>
                <w:rFonts w:hint="eastAsia" w:ascii="宋体" w:hAnsi="宋体" w:eastAsia="宋体" w:cs="宋体"/>
                <w:b/>
                <w:bCs w:val="0"/>
                <w:i w:val="0"/>
                <w:color w:val="000000"/>
                <w:sz w:val="21"/>
                <w:szCs w:val="21"/>
                <w:u w:val="none"/>
              </w:rPr>
              <w:suppressLineNumbers w:val="0"/>
            </w:pPr>
            <w:r>
              <w:rPr>
                <w:rFonts w:hint="eastAsia" w:ascii="宋体" w:hAnsi="宋体" w:eastAsia="宋体" w:cs="宋体"/>
                <w:b/>
                <w:bCs w:val="0"/>
                <w:i w:val="0"/>
                <w:color w:val="000000"/>
                <w:sz w:val="21"/>
                <w:szCs w:val="21"/>
                <w:u w:val="none"/>
                <w:lang w:val="en-US" w:eastAsia="zh-CN" w:bidi="ar"/>
              </w:rPr>
              <w:t xml:space="preserve">系统／设备名称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center"/>
              <w:keepLines w:val="0"/>
              <w:keepNext w:val="0"/>
              <w:widowControl/>
              <w:rPr>
                <w:rFonts w:hint="eastAsia" w:ascii="宋体" w:hAnsi="宋体" w:eastAsia="宋体" w:cs="宋体"/>
                <w:b/>
                <w:bCs w:val="0"/>
                <w:i w:val="0"/>
                <w:color w:val="000000"/>
                <w:sz w:val="21"/>
                <w:szCs w:val="21"/>
                <w:u w:val="none"/>
              </w:rPr>
              <w:suppressLineNumbers w:val="0"/>
            </w:pPr>
            <w:r>
              <w:rPr>
                <w:rFonts w:hint="eastAsia" w:ascii="宋体" w:hAnsi="宋体" w:eastAsia="宋体" w:cs="宋体"/>
                <w:b/>
                <w:bCs w:val="0"/>
                <w:i w:val="0"/>
                <w:color w:val="000000"/>
                <w:sz w:val="21"/>
                <w:szCs w:val="21"/>
                <w:u w:val="none"/>
                <w:lang w:val="en-US" w:eastAsia="zh-CN" w:bidi="ar"/>
              </w:rPr>
              <w:t xml:space="preserve">规格及配置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b/>
                <w:bCs w:val="0"/>
                <w:sz w:val="21"/>
                <w:szCs w:val="21"/>
                <w:lang w:val="en-US" w:eastAsia="zh-CN" w:bidi="ar-SA"/>
              </w:rPr>
              <w:suppressLineNumbers w:val="0"/>
            </w:pPr>
            <w:r>
              <w:rPr>
                <w:rFonts w:hint="eastAsia" w:ascii="宋体" w:hAnsi="宋体" w:eastAsia="宋体" w:cs="宋体"/>
                <w:b/>
                <w:bCs w:val="0"/>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b/>
                <w:bCs w:val="0"/>
                <w:i w:val="0"/>
                <w:color w:val="000000"/>
                <w:sz w:val="21"/>
                <w:szCs w:val="21"/>
                <w:u w:val="none"/>
              </w:rPr>
              <w:suppressLineNumbers w:val="0"/>
            </w:pPr>
            <w:r>
              <w:rPr>
                <w:rFonts w:hint="eastAsia" w:ascii="宋体" w:hAnsi="宋体" w:eastAsia="宋体" w:cs="宋体"/>
                <w:b/>
                <w:bCs w:val="0"/>
                <w:i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default" w:ascii="宋体" w:hAnsi="宋体" w:eastAsia="宋体" w:cs="宋体"/>
                <w:b/>
                <w:bCs w:val="0"/>
                <w:i w:val="0"/>
                <w:color w:val="000000"/>
                <w:sz w:val="21"/>
                <w:szCs w:val="21"/>
                <w:u w:val="none"/>
                <w:lang w:val="en-US" w:eastAsia="zh-CN" w:bidi="ar"/>
              </w:rPr>
              <w:suppressLineNumbers w:val="0"/>
            </w:pPr>
            <w:r>
              <w:rPr>
                <w:rFonts w:hint="eastAsia" w:ascii="宋体" w:hAnsi="宋体" w:eastAsia="宋体" w:cs="宋体"/>
                <w:b/>
                <w:bCs w:val="0"/>
                <w:i w:val="0"/>
                <w:color w:val="000000"/>
                <w:sz w:val="21"/>
                <w:szCs w:val="21"/>
                <w:u w:val="none"/>
                <w:lang w:val="en-US" w:eastAsia="zh-CN" w:bidi="ar"/>
              </w:rPr>
              <w:t xml:space="preserve">备注</w:t>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3"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一、安全预警系统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斑马线事故预警系统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62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斑马线事故预警主机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黑色一体式预警主机3400*380*160mm；方形800主动发光交通标志；主动发光文字标志1286*326*40mm；LED爆闪灯；智能语音模块；嵌入式系统控制主板；智能无线通信模块；智能交通视频检测器；开关电源；自动重合闸用电保护器；4G物联网平台控制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智能有线道钉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包含道钉壳体单元；智能光学发光单元；有源控制主板；GPS定位控制单元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KVV3*1.5mm²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含铁质热镀锌C型钢、控制线等安装辅材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慢行交通预警系统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路口智能红外语音警示柱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材质不锈钢，两端为半圆形警示柱；顶端两侧设有面发光模块，呈灯带样式，发光颜色与行人信号灯同步。发光模块夜间视认距离大于150米。头部分别装有红外发射和红外接收装置，有效检测距离要求不低于15米。具有发声模块，在满足需求时，发出警示语音。要求从行人信号灯直接取电，通过专用的开关电源转换为12V弱电接入产品，确保产品的安全性。工作温度：-40℃至60℃,工作环境湿度：10%-90%,防尘防水等级：IP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信号灯同步匀光道钉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表面均匀发光，夜间可视距离大于100米，灯光颜色同步信号灯显示（红色、绿色），要求从行人信号灯直接取电，通过专用的开关电源转换为12V弱电接入产品，确保产品的安全性。工作温度：-20℃至80℃，相对湿度90%RH，防尘防水等级：IP68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KVV3*1.5mm²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控制软电缆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RVVR-450/750-（5X1.0）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4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3"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二、视频监控系统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271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一体化高清球型摄像机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内置GPU芯片；</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最低照度，彩色：≤0.0002lux，黑白：≤0.0001lux；</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内置至少两个传感器，分辨率均≥2560×1440；</w:t>
            </w:r>
            <w:r/>
          </w:p>
          <w:p>
            <w:pPr>
              <w:jc w:val="left"/>
              <w:keepLines w:val="0"/>
              <w:keepNext w:val="0"/>
              <w:widowControl/>
              <w:rPr>
                <w:rFonts w:hint="eastAsia" w:eastAsia="宋体"/>
                <w:lang w:eastAsia="zh-CN"/>
              </w:rPr>
              <w:suppressLineNumbers w:val="0"/>
            </w:pPr>
            <w:r>
              <w:rPr>
                <w:rFonts w:hint="eastAsia" w:ascii="宋体" w:hAnsi="宋体" w:eastAsia="宋体" w:cs="宋体"/>
                <w:i w:val="0"/>
                <w:color w:val="000000"/>
                <w:sz w:val="21"/>
                <w:szCs w:val="21"/>
                <w:u w:val="none"/>
                <w:lang w:val="en-US" w:eastAsia="zh-CN" w:bidi="ar"/>
              </w:rPr>
              <w:t xml:space="preserve">支持云台旋转，水平0°-360°，垂直-10°-90°；内置补光灯，红外补光距离≥200m，白光补光距离≥30m；支持H.265/H.264/MJPEG编码格式；支持GB/T28181、GA/T1400和Onvif协议，确保兼容性；至少含1个RJ45 10M/100M自适应以太网口、1个存储卡插槽；防护等级：不低于IP66；工作温度-40℃~60℃；含安装支架、电源、64G存储卡等。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63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720度全景相机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4*800万全景相机前端拼接，</w:t>
            </w:r>
            <w:r/>
          </w:p>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分辨率可达3200万像素，铝合金外壳，防护等级IP67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网络、电源二合一防雷保护器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不对称U型支架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定制，不对称U型支架，含抱箍、底座等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网管型5口交换机，含至少1个千兆光口、4个百兆电口，含单模光模块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shd w:val="clear" w:color="auto" w:fill="auto"/>
            <w:tcBorders>
              <w:top w:val="none" w:color="000000" w:sz="4" w:space="0"/>
              <w:left w:val="single" w:color="000000" w:sz="4" w:space="0"/>
              <w:bottom w:val="non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F式杆件</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成品八棱杆，竖杆:八棱杆φ(280～220)×6700×8，横臂六棱杆φ(180～100)×5000×6，尾臂φ180×1500×6</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基础尺寸：1000*1000*2200（mm），C30混凝土基础，含地笼、配筋、基础接地等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RVV3*1.0mm²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850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RVV3*2.5mm²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850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4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室外单模4芯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131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抱杆箱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材质：1.5mm厚不锈钢板箱体、4mm绝缘安装板、不锈钢内铰链、防盗通用锁、 密封条、防尘棉、空开轨道等。含1个2P25A空开，4个1P16A空开，规格：550×400×220mm，防护等级不低于IP55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Style w:val="765"/>
                <w:rFonts w:hint="eastAsia" w:ascii="宋体" w:hAnsi="宋体" w:eastAsia="宋体" w:cs="宋体"/>
                <w:sz w:val="21"/>
                <w:szCs w:val="21"/>
                <w:lang w:val="en-US" w:eastAsia="zh-CN" w:bidi="ar"/>
              </w:rPr>
              <w:t xml:space="preserve">4端口，室</w:t>
            </w:r>
            <w:r>
              <w:rPr>
                <w:rStyle w:val="765"/>
                <w:rFonts w:hint="eastAsia" w:ascii="宋体" w:hAnsi="宋体" w:eastAsia="宋体" w:cs="宋体"/>
                <w:color w:val="auto"/>
                <w:sz w:val="21"/>
                <w:szCs w:val="21"/>
                <w:lang w:val="en-US" w:eastAsia="zh-CN" w:bidi="ar"/>
              </w:rPr>
              <w:t xml:space="preserve">外防水，PC材质</w:t>
            </w:r>
            <w:r>
              <w:rPr>
                <w:rStyle w:val="766"/>
                <w:rFonts w:hint="eastAsia" w:ascii="宋体" w:hAnsi="宋体" w:eastAsia="宋体" w:cs="宋体"/>
                <w:color w:val="auto"/>
                <w:sz w:val="21"/>
                <w:szCs w:val="21"/>
                <w:lang w:val="en-US" w:eastAsia="zh-CN" w:bidi="ar"/>
              </w:rPr>
              <w:t xml:space="preserve">，不含熔接费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单芯单模尾纤，3米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双芯单模跳线，3米，接口类型根据交换机定制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29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接地连接线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BV-10mm²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接地镀锌角钢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L5X5, L=2.5m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热镀锌扁钢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40X4热镀锌扁钢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含安装辅材等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网络传输租用费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三年，裸纤，千兆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42"/>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3"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三、高清电子警察抓系统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闯红灯抓拍系统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微光高清抓拍单元（尾牌）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不低于900W像素；</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包含高清一体化嵌入式摄像机、高清镜头 (根据场景实际情况确定镜头大小)、室外防护罩、相机内置网络信号防雷装置与补光灯、128G存储卡等；</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前端采用双GPU或双sensor</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最低照度，彩色：≤0.005Lux，黑白：≤0.0025Lux</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传感器分辨率≥4096×2160</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传感器靶面≥1"</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内置补光灯，柔光补光距离≥30m</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支持H.265/H.264/MJPEG编码格式</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支持GB/T28181、GA/T1400和Onvif协议，确保兼容性</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具有≥2个RJ45 10M/100M/1000M自适应以太网口、≥4个通用半双工RS485接口，≥2个快接RS485接口、≥1路RS232、≥1路告警输入/4路光耦开关量输出/1路继电器告警输出、≥1路音频输入、≥1路音频输出、≥1个USB接口、≥1个TF卡接口、≥1个复位按键</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防护等级：不低于IP65</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所适配的补光灯需满足公安部权威机构认证的GA/T1202-2022《交通技术监控成像补光装置通用技术条件》</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b/>
                <w:bCs/>
                <w:i w:val="0"/>
                <w:color w:val="000000"/>
                <w:sz w:val="21"/>
                <w:szCs w:val="21"/>
                <w:u w:val="none"/>
                <w:lang w:val="en-US" w:eastAsia="zh-CN" w:bidi="ar"/>
              </w:rPr>
              <w:t xml:space="preserve">★</w:t>
            </w:r>
            <w:r>
              <w:rPr>
                <w:rFonts w:hint="eastAsia" w:ascii="宋体" w:hAnsi="宋体" w:eastAsia="宋体" w:cs="宋体"/>
                <w:b w:val="0"/>
                <w:bCs w:val="0"/>
                <w:i w:val="0"/>
                <w:color w:val="000000"/>
                <w:sz w:val="21"/>
                <w:szCs w:val="21"/>
                <w:u w:val="none"/>
                <w:lang w:val="en-US" w:eastAsia="zh-CN" w:bidi="ar"/>
              </w:rPr>
              <w:t xml:space="preserve">设备内置镜头模组支架装置，可以移除鬼影</w:t>
            </w:r>
            <w:r>
              <w:rPr>
                <w:rFonts w:hint="eastAsia" w:ascii="宋体" w:hAnsi="宋体" w:eastAsia="宋体" w:cs="宋体"/>
                <w:b w:val="0"/>
                <w:bCs w:val="0"/>
                <w:i w:val="0"/>
                <w:color w:val="000000"/>
                <w:sz w:val="21"/>
                <w:szCs w:val="21"/>
                <w:u w:val="none"/>
                <w:lang w:val="en-US" w:eastAsia="zh-CN" w:bidi="ar"/>
              </w:rPr>
              <w:br/>
            </w:r>
            <w:r>
              <w:rPr>
                <w:rFonts w:hint="eastAsia" w:ascii="宋体" w:hAnsi="宋体" w:eastAsia="宋体" w:cs="宋体"/>
                <w:b w:val="0"/>
                <w:bCs w:val="0"/>
                <w:i w:val="0"/>
                <w:color w:val="000000"/>
                <w:sz w:val="21"/>
                <w:szCs w:val="21"/>
                <w:u w:val="none"/>
                <w:lang w:val="en-US" w:eastAsia="zh-CN" w:bidi="ar"/>
              </w:rPr>
              <w:t xml:space="preserve">设备支持补光灯简易接口设计，可通过2个RJ45接口控制外置补光灯，支持调节补光灯亮度</w:t>
            </w:r>
            <w:r>
              <w:rPr>
                <w:rFonts w:hint="eastAsia" w:ascii="宋体" w:hAnsi="宋体" w:eastAsia="宋体" w:cs="宋体"/>
                <w:b w:val="0"/>
                <w:bCs w:val="0"/>
                <w:i w:val="0"/>
                <w:color w:val="000000"/>
                <w:sz w:val="21"/>
                <w:szCs w:val="21"/>
                <w:u w:val="none"/>
                <w:lang w:val="en-US" w:eastAsia="zh-CN" w:bidi="ar"/>
              </w:rPr>
              <w:br/>
            </w:r>
            <w:r>
              <w:rPr>
                <w:rFonts w:hint="eastAsia" w:ascii="宋体" w:hAnsi="宋体" w:eastAsia="宋体" w:cs="宋体"/>
                <w:b w:val="0"/>
                <w:bCs w:val="0"/>
                <w:i w:val="0"/>
                <w:color w:val="000000"/>
                <w:sz w:val="21"/>
                <w:szCs w:val="21"/>
                <w:u w:val="none"/>
                <w:lang w:val="en-US" w:eastAsia="zh-CN" w:bidi="ar"/>
              </w:rPr>
              <w:t xml:space="preserve">★支持AI车牌增强功能，开启后可防止车牌过曝，支持蓝牌、黄牌、白牌、黑牌、绿牌、黄绿双拼牌；支持AI车窗增强功能，开启后可去除白天车窗反光和彩条纹</w:t>
            </w:r>
            <w:r>
              <w:rPr>
                <w:rFonts w:hint="eastAsia" w:ascii="宋体" w:hAnsi="宋体" w:eastAsia="宋体" w:cs="宋体"/>
                <w:b w:val="0"/>
                <w:bCs w:val="0"/>
                <w:i w:val="0"/>
                <w:color w:val="000000"/>
                <w:sz w:val="21"/>
                <w:szCs w:val="21"/>
                <w:u w:val="none"/>
                <w:lang w:val="en-US" w:eastAsia="zh-CN" w:bidi="ar"/>
              </w:rPr>
              <w:br/>
            </w:r>
            <w:r>
              <w:rPr>
                <w:rFonts w:hint="eastAsia" w:ascii="宋体" w:hAnsi="宋体" w:eastAsia="宋体" w:cs="宋体"/>
                <w:b w:val="0"/>
                <w:bCs w:val="0"/>
                <w:i w:val="0"/>
                <w:color w:val="000000"/>
                <w:sz w:val="21"/>
                <w:szCs w:val="21"/>
                <w:u w:val="none"/>
                <w:lang w:val="en-US" w:eastAsia="zh-CN" w:bidi="ar"/>
              </w:rPr>
              <w:t xml:space="preserve">支持非机动车闯红灯、逆行、占用机动车道、越线停车、闯禁令、超载、装载伞具、不戴头盔等违法抓拍，识别准确率≥99%</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b w:val="0"/>
                <w:bCs w:val="0"/>
                <w:i w:val="0"/>
                <w:color w:val="000000"/>
                <w:sz w:val="21"/>
                <w:szCs w:val="21"/>
                <w:u w:val="none"/>
                <w:lang w:val="en-US" w:eastAsia="zh-CN" w:bidi="ar"/>
              </w:rPr>
              <w:t xml:space="preserve">★</w:t>
            </w:r>
            <w:r>
              <w:rPr>
                <w:rFonts w:hint="eastAsia" w:ascii="宋体" w:hAnsi="宋体" w:eastAsia="宋体" w:cs="宋体"/>
                <w:b w:val="0"/>
                <w:bCs w:val="0"/>
                <w:i w:val="0"/>
                <w:color w:val="000000"/>
                <w:sz w:val="21"/>
                <w:szCs w:val="21"/>
                <w:highlight w:val="none"/>
                <w:u w:val="none"/>
                <w:shd w:val="clear" w:color="auto"/>
                <w:lang w:val="en-US" w:eastAsia="zh-CN" w:bidi="ar"/>
              </w:rPr>
              <w:t xml:space="preserve">支持车辆人行道通行未减速抓拍功能，抓拍图片符合GA/T1244-2015标准的相关要求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多目抓拍摄像机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处理器：≥八核64位ARM CPU+6T@int8 NPU</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存储：≥8GB DDR/16GB EMMC</w:t>
            </w:r>
            <w:r>
              <w:rPr>
                <w:rFonts w:hint="eastAsia" w:ascii="宋体" w:hAnsi="宋体" w:eastAsia="宋体" w:cs="宋体"/>
                <w:i w:val="0"/>
                <w:color w:val="000000"/>
                <w:sz w:val="21"/>
                <w:szCs w:val="21"/>
                <w:highlight w:val="none"/>
                <w:u w:val="none"/>
                <w:lang w:val="en-US" w:eastAsia="zh-CN" w:bidi="ar"/>
              </w:rPr>
              <w:br/>
            </w:r>
            <w:r>
              <w:rPr>
                <w:rFonts w:hint="eastAsia" w:asciiTheme="minorEastAsia" w:hAnsiTheme="minorEastAsia" w:eastAsiaTheme="minorEastAsia" w:cstheme="minorEastAsia"/>
                <w:b/>
                <w:bCs w:val="0"/>
                <w:color w:val="auto"/>
                <w:sz w:val="21"/>
                <w:szCs w:val="21"/>
                <w:highlight w:val="none"/>
              </w:rPr>
              <w:t xml:space="preserve">★</w:t>
            </w:r>
            <w:r>
              <w:rPr>
                <w:rFonts w:hint="eastAsia" w:ascii="宋体" w:hAnsi="宋体" w:eastAsia="宋体" w:cs="宋体"/>
                <w:i w:val="0"/>
                <w:color w:val="000000"/>
                <w:sz w:val="21"/>
                <w:szCs w:val="21"/>
                <w:highlight w:val="none"/>
                <w:u w:val="none"/>
                <w:lang w:val="en-US" w:eastAsia="zh-CN" w:bidi="ar"/>
              </w:rPr>
              <w:t xml:space="preserve">图像传感器：≥3个</w:t>
            </w:r>
            <w:r/>
          </w:p>
          <w:p>
            <w:pPr>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2个特写1" GMOS，1个全景1/1.8" CMOS</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图像分辨率：特写≥4096×2288，全景≥1920×1080</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图像格式：JPEG压缩，支持压缩因子调整</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图像设置：曝光时间、白平衡、对比度、锐度均可自动和手动调节</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视频：≥3路</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视频帧率：特写≥25fps/全景≥25fps</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视频格式：H.264/H.265</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视频码率：64Kbps～12Mbps</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u w:val="none"/>
                <w:lang w:val="en-US" w:eastAsia="zh-CN" w:bidi="ar"/>
              </w:rPr>
              <w:t xml:space="preserve">具备车辆结构化能力，能够识别车牌号码、车辆类型、车身颜色、车辆品牌等特征</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具备违章识别能力，支持闯红灯、不按导向行驶、逆行、不按车道行驶等违章抓拍功能</w:t>
            </w:r>
            <w:r>
              <w:rPr>
                <w:rFonts w:hint="eastAsia" w:ascii="宋体" w:hAnsi="宋体" w:eastAsia="宋体" w:cs="宋体"/>
                <w:i w:val="0"/>
                <w:color w:val="000000"/>
                <w:sz w:val="21"/>
                <w:szCs w:val="21"/>
                <w:highlight w:val="yellow"/>
                <w:u w:val="none"/>
                <w:lang w:val="en-US" w:eastAsia="zh-CN" w:bidi="ar"/>
              </w:rPr>
              <w:br/>
            </w:r>
            <w:r>
              <w:rPr>
                <w:rFonts w:hint="eastAsia" w:asciiTheme="minorEastAsia" w:hAnsiTheme="minorEastAsia" w:eastAsiaTheme="minorEastAsia" w:cstheme="minorEastAsia"/>
                <w:b/>
                <w:bCs w:val="0"/>
                <w:color w:val="auto"/>
                <w:sz w:val="21"/>
                <w:szCs w:val="21"/>
                <w:highlight w:val="none"/>
              </w:rPr>
              <w:t xml:space="preserve">★</w:t>
            </w:r>
            <w:r>
              <w:rPr>
                <w:rFonts w:hint="eastAsia" w:ascii="宋体" w:hAnsi="宋体" w:eastAsia="宋体" w:cs="宋体"/>
                <w:i w:val="0"/>
                <w:color w:val="000000"/>
                <w:sz w:val="21"/>
                <w:szCs w:val="21"/>
                <w:u w:val="none"/>
                <w:lang w:val="en-US" w:eastAsia="zh-CN" w:bidi="ar"/>
              </w:rPr>
              <w:t xml:space="preserve">具备流量统计功能，能够按车道和时段进行车辆流量、占有率，平均排队长度等数据的统计</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触发方式：IO/RS485/RS232/雷达/视频</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网络接口：RJ-45 1000M接口</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通讯接口：一组RS232，两组RS485</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输入接口：4路可编程输入触发接口</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输出接口：10路补光灯</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其他接口：SD卡/USB接口/HDMI</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电源：12VDC</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工作温度：-20℃～70℃</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看门狗：支持硬件看门狗</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实时时钟：高精准RTC时钟，保证抓拍准确</w:t>
            </w:r>
            <w:r/>
          </w:p>
          <w:p>
            <w:pPr>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该设备为前、中、后三个高分辨率图像传感器的一体化集成：</w:t>
            </w:r>
            <w:r/>
          </w:p>
          <w:p>
            <w:pPr>
              <w:jc w:val="left"/>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前置高清抓拍相机为车辆车尾抓拍，起电子警察业务功能；后置高清抓拍相机为捕捉车辆车头及司乘人员人脸信息，满足卡口业务需求；下方摄像机为全景模块，可实现流量检测、排队长度统计、车道占有率分析及压实线并线等违章行为识别；</w:t>
            </w:r>
            <w:r/>
          </w:p>
          <w:p>
            <w:pPr>
              <w:jc w:val="left"/>
              <w:keepLines w:val="0"/>
              <w:keepNext w:val="0"/>
              <w:widowControl/>
              <w:rPr>
                <w:rFonts w:hint="eastAsia"/>
              </w:rPr>
              <w:suppressLineNumbers w:val="0"/>
            </w:pPr>
            <w:r>
              <w:rPr>
                <w:rFonts w:hint="eastAsia" w:ascii="宋体" w:hAnsi="宋体" w:eastAsia="宋体" w:cs="宋体"/>
                <w:i w:val="0"/>
                <w:color w:val="000000"/>
                <w:sz w:val="21"/>
                <w:szCs w:val="21"/>
                <w:highlight w:val="none"/>
                <w:u w:val="none"/>
                <w:lang w:val="en-US" w:eastAsia="zh-CN" w:bidi="ar"/>
              </w:rPr>
              <w:t xml:space="preserve">设备具备高集成度的算法融合，可支撑多个智慧交通业务场景，如全息路口建设、信号智能控制、车路协同等场景业务逻辑在单台设备中即可完成，无需额外配置后端服务器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定制，电警杆横臂吊挂安装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网络、电源二合一防雷保护器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补光灯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光源类型：≥16颗LED；覆盖范围：单车道环境补光灯；补光范围：16米～25米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红灯信号检测器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红灯信号检测器。最大支持16个红灯相位信号输入接口</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44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前端存储主机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支持大货车管控专用抓拍机与普通卡口、电子警察IPC接入、存储、合成、上传等；</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支持对大货车的车头抓拍图片与车尾抓拍图片的匹配合成</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可配</w:t>
            </w:r>
            <w:r>
              <w:rPr>
                <w:rFonts w:hint="eastAsia" w:ascii="宋体" w:hAnsi="宋体" w:eastAsia="宋体" w:cs="宋体"/>
                <w:i w:val="0"/>
                <w:color w:val="000000"/>
                <w:sz w:val="21"/>
                <w:szCs w:val="21"/>
                <w:highlight w:val="none"/>
                <w:u w:val="none"/>
                <w:lang w:val="en-US" w:eastAsia="zh-CN" w:bidi="ar"/>
              </w:rPr>
              <w:t xml:space="preserve">置多种字符叠加、图片合成模式</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支持不少于2个远程主机、2个FTP主机上传数据</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网口数量：≥18</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硬盘盘位数量：≥4</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光纤接口数量：≥2</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智能识别：大货车违章处理，支持关联尾牌模糊的大货车车头图片，进行违章取证</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通用功能：心跳，密码保护，NTP校时</w:t>
            </w:r>
            <w:r>
              <w:rPr>
                <w:rFonts w:hint="eastAsia" w:ascii="宋体" w:hAnsi="宋体" w:eastAsia="宋体" w:cs="宋体"/>
                <w:i w:val="0"/>
                <w:color w:val="000000"/>
                <w:sz w:val="21"/>
                <w:szCs w:val="21"/>
                <w:highlight w:val="none"/>
                <w:u w:val="none"/>
                <w:lang w:val="en-US" w:eastAsia="zh-CN" w:bidi="ar"/>
              </w:rPr>
              <w:br/>
            </w:r>
            <w:r>
              <w:rPr>
                <w:rFonts w:hint="eastAsia" w:ascii="宋体" w:hAnsi="宋体" w:eastAsia="宋体" w:cs="宋体"/>
                <w:i w:val="0"/>
                <w:color w:val="000000"/>
                <w:sz w:val="21"/>
                <w:szCs w:val="21"/>
                <w:highlight w:val="none"/>
                <w:u w:val="none"/>
                <w:lang w:val="en-US" w:eastAsia="zh-CN" w:bidi="ar"/>
              </w:rPr>
              <w:t xml:space="preserve">接入路数：≥12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10口，含至少2个千兆光口、8个百兆电口，含单模光模块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72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rPr>
              <w:suppressLineNumbers w:val="0"/>
            </w:pPr>
            <w:r>
              <w:rPr>
                <w:rFonts w:hint="eastAsia" w:ascii="宋体" w:hAnsi="宋体" w:eastAsia="宋体" w:cs="宋体"/>
                <w:i w:val="0"/>
                <w:color w:val="000000"/>
                <w:sz w:val="21"/>
                <w:szCs w:val="21"/>
                <w:u w:val="none"/>
                <w:lang w:val="en-US" w:eastAsia="zh-CN" w:bidi="ar"/>
              </w:rPr>
              <w:t xml:space="preserve">24口，含至少十二个千兆光口，十二个千兆电口，含光模块，含电源，带网管，含1个原厂40KM千兆单模光模块，11个原厂10KM千兆单模光模块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外壳采用不锈钢，喷塑，厚度不小于1.5mm，含2个24口光纤熔接盒及耦合器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设备箱基础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基础尺寸：600*860*800（mm），C25混凝土基础，含地笼、配筋、基础接地等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7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外壳采用不锈钢，喷塑，厚度不小于1.5mm，含空开，含自动重合闸控制器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配电箱基础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基础尺寸：600*860*800（mm），C25混凝土基础，含地笼、配筋、基础接地等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抱杆箱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材质：1.5mm厚不锈钢板箱体、4mm绝缘安装板、不锈钢内铰链、防盗通用锁、 密封条、防尘棉、空开轨道等。含1个2P25A空开，4个1P16A空开，规格：550×400×220mm，防护等级不低于IP55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控制线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RVSP2*1.0mm²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1740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RVV3*1.0mm²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RVV3*2.5mm²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YJV3*4mm²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105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交通监控设备标志牌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白底、蓝图形、黑边框、白色衬边，700mm*900mm，不低于Ⅳ级反光膜，附着安装，含抱箍等安装辅材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21</w:t>
            </w:r>
            <w:r/>
          </w:p>
        </w:tc>
        <w:tc>
          <w:tcPr>
            <w:shd w:val="clear" w:color="auto" w:fill="auto"/>
            <w:tcBorders>
              <w:top w:val="none" w:color="000000" w:sz="4" w:space="0"/>
              <w:left w:val="single" w:color="000000" w:sz="4" w:space="0"/>
              <w:bottom w:val="none" w:color="000000" w:sz="4" w:space="0"/>
              <w:right w:val="single" w:color="000000" w:sz="4" w:space="0"/>
            </w:tcBorders>
            <w:tcMar>
              <w:left w:w="15" w:type="dxa"/>
              <w:top w:w="15" w:type="dxa"/>
              <w:right w:w="15" w:type="dxa"/>
            </w:tcMar>
            <w:tcW w:w="1874"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F式杆件</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成品八棱杆，竖杆:八棱杆φ(280～220)×6700×8，横臂六棱杆φ(180～100)×5000×6，尾臂φ180×1500×6</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22</w:t>
            </w:r>
            <w:r/>
          </w:p>
        </w:tc>
        <w:tc>
          <w:tcPr>
            <w:shd w:val="clear" w:color="auto" w:fill="auto"/>
            <w:tcBorders>
              <w:top w:val="none" w:color="000000" w:sz="4" w:space="0"/>
              <w:left w:val="single" w:color="000000" w:sz="4" w:space="0"/>
              <w:bottom w:val="none" w:color="000000" w:sz="4" w:space="0"/>
              <w:right w:val="single" w:color="000000" w:sz="4" w:space="0"/>
            </w:tcBorders>
            <w:tcMar>
              <w:left w:w="15" w:type="dxa"/>
              <w:top w:w="15" w:type="dxa"/>
              <w:right w:w="15" w:type="dxa"/>
            </w:tcMar>
            <w:tcW w:w="1874" w:type="dxa"/>
            <w:vAlign w:val="center"/>
            <w:vMerge w:val="continue"/>
            <w:textDirection w:val="lrTb"/>
            <w:noWrap w:val="false"/>
          </w:tcPr>
          <w:p>
            <w:pPr>
              <w:jc w:val="left"/>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成品八棱杆，竖杆:八棱杆φ(280～220)×6700×8，横臂六棱杆φ(180～100)×7000×6，尾臂φ180×1500×6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23</w:t>
            </w:r>
            <w:r/>
          </w:p>
        </w:tc>
        <w:tc>
          <w:tcPr>
            <w:shd w:val="clear" w:color="auto" w:fill="auto"/>
            <w:tcBorders>
              <w:top w:val="none" w:color="000000" w:sz="4" w:space="0"/>
              <w:left w:val="single" w:color="000000" w:sz="4" w:space="0"/>
              <w:bottom w:val="none" w:color="000000" w:sz="4" w:space="0"/>
              <w:right w:val="single" w:color="000000" w:sz="4" w:space="0"/>
            </w:tcBorders>
            <w:tcMar>
              <w:left w:w="15" w:type="dxa"/>
              <w:top w:w="15" w:type="dxa"/>
              <w:right w:w="15" w:type="dxa"/>
            </w:tcMar>
            <w:tcW w:w="1874" w:type="dxa"/>
            <w:vAlign w:val="center"/>
            <w:vMerge w:val="continue"/>
            <w:textDirection w:val="lrTb"/>
            <w:noWrap w:val="false"/>
          </w:tcPr>
          <w:p>
            <w:pPr>
              <w:jc w:val="left"/>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成品八棱杆，竖杆:八棱杆φ(430～350)×7000×10，横臂六棱杆φ(300～100)×11000×8，尾臂φ300×2500×8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基础尺寸：1000*1000*2200（mm），C30混凝土基础，含地笼、配筋、基础接地等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沉台式基础尺寸：1000*1000*2150+350*350*2000（mm），C30混凝土基础，含地笼、配筋、基础接地等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室外单模4芯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Style w:val="765"/>
                <w:rFonts w:hint="eastAsia" w:ascii="宋体" w:hAnsi="宋体" w:eastAsia="宋体" w:cs="宋体"/>
                <w:sz w:val="21"/>
                <w:szCs w:val="21"/>
                <w:lang w:val="en-US" w:eastAsia="zh-CN" w:bidi="ar"/>
              </w:rPr>
              <w:t xml:space="preserve">4端口，室外防水，PC材质</w:t>
            </w:r>
            <w:r>
              <w:rPr>
                <w:rStyle w:val="766"/>
                <w:rFonts w:hint="eastAsia" w:ascii="宋体" w:hAnsi="宋体" w:eastAsia="宋体" w:cs="宋体"/>
                <w:color w:val="000000" w:themeColor="text1"/>
                <w:sz w:val="21"/>
                <w:szCs w:val="21"/>
                <w:lang w:val="en-US" w:eastAsia="zh-CN" w:bidi="ar"/>
              </w:rPr>
              <w:t xml:space="preserve">，不含熔接费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单芯单模尾纤，3米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双芯单模跳线，3米，接口类型根据交换机定制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168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336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接地连接线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BV-10mm²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接地镀锌角钢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L5X5, L=2.5m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热镀锌扁钢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40X4热镀锌扁钢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非机动车违法抓拍系统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非机动车违法抓拍摄像机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不低于1200万像素，分辨率不低于4480*2688；</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视频压缩标准：H.264、H.265、MJPEG；</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输出图片格式：JPEG；</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内置LED补光灯；</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支持红绿灯信号视频检测方式；</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支持机动车和非机动车抓拍；</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支持机动车车牌、车型、车身颜色、车辆品牌等信息识别；</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支持压线、逆行、闯红灯、不按导向行驶、违法变道、闯禁令、不礼让行人等机动车违章行为检测；</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支持伞棚、载人人数、非机动车车牌识别（定制）等特征识别；</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支持非占机、载人、未戴头盔、逆行、闯红灯等非机动车违章行为检测；</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支持远程数据上传，可将抓拍的图片上传给终端服务器、FTP服务器或者后端平台等；</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支持存储卡插槽，最大支持256G；</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至少1个RS-485接口、1个RS-232接口、1个千兆自适应以太网口；</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至少1个报警输入、7路报警输出；</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防护等级不低于IP65；</w:t>
            </w:r>
            <w:r/>
          </w:p>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含镜头、安装支架、万向节、电源、64G存储卡等。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9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非机动车人脸采集摄像机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不低于800万像素，</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分辨率不低于3840*2160；彩色照度不高于0.001Lux、黑白照度不高于0.0001Lux；</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内置暖光补光灯；</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视频压缩标准：H.264、H.265、MJPEG；</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输出图片格式：JPEG；</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支持3D数字降噪；</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支持机动车车牌、车身颜色、车型，车辆品牌识别；</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支持非机动车抓拍，支持输出骑车人员人脸小图及人体多项属性；</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支持非机动车车型、伞棚、载人人数、非机动车车牌识别（定制）等特征识别；</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支持非占机、载人、未戴头盔、逆行、闯红灯等非机动车违章行为检测；</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支持行人抓拍，支持输出行人对应的人脸小图及多类人体属性；</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支持行人人体、特征识别；支持对行人人脸进行检测、抓拍、评分、筛选，输出最优的行人抓拍图片；</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最大可支持40个人脸目标同时检测、抓拍，支持人脸去误抓；</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至少1个RS-485接口，1个RS-232接口，1个RJ45 10M/100M/1000M自适应以太网口；</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至少1路触发输出接口；</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防护等级不低于IP65；</w:t>
            </w:r>
            <w:r/>
          </w:p>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含电源、支架、万向节、64G存储卡；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网络、电源二合一防雷保护器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附着于电警杆/信号灯杆上安装，横臂长度0.5米-2米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前端存储主机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非机动车管理终端</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接入路数：≥12路</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通讯接口：≥2个RS-485接口,≥2个RS-232接口；</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报警接口：≥2个报警输入，≥2个报警输出</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音频接口：≥1路音频输入，≥1路音频输出</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网口数量：≥18个</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硬盘盘位数量：≥4个</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USB数量：≥1个</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硬盘：≥8T</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支持不小于12个通道的非机动车过车记录存储、图片存储、视频存储、抓拍及违章数据上传、视频流转发。</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支持按照抓拍图片检索关联录像，检索的关联录像时长可设置为（1-100）秒。</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支持将1张、2张、3张、4张、5张、6张图片合成，支持选择图片形状，修改顺序，支持原始图片去黑边。</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支持将同一辆经过多个相机的抓拍图片按照时间范围进行匹配合成。</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支持将原始图片、特写图片、合成图片、车牌抠图、关联录像、主驾驶人脸图片、副驾驶人脸图片、行人人脸图片、非机动车人脸图片上传至FTP服务器。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至少八个百兆电口，含电源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RVV3*1.0mm²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1550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1550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货车闯禁区抓拍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543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一体化高清抓拍单元（前牌）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内置双GPU或双 Sensor 架构；</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最低照度，彩色：≤0.0002Lux，黑白：≤0.0001Lux；</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快门范围:1/3~1/100000；</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传感器分辨率≥4096×2160；</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内置补光灯，柔光补光距离≥30m；</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支持H265/H264/MJPEG 编码格式；</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shd w:val="clear" w:color="auto"/>
                <w:lang w:val="en-US" w:eastAsia="zh-CN" w:bidi="ar"/>
              </w:rPr>
              <w:t xml:space="preserve">支持 GB/T28181、GB35114A级、GA/T1400 和 0nvif 协议，确保兼容性；</w:t>
            </w:r>
            <w:r>
              <w:rPr>
                <w:rFonts w:hint="eastAsia" w:ascii="宋体" w:hAnsi="宋体" w:eastAsia="宋体" w:cs="宋体"/>
                <w:i w:val="0"/>
                <w:color w:val="000000"/>
                <w:sz w:val="21"/>
                <w:szCs w:val="21"/>
                <w:u w:val="none"/>
                <w:shd w:val="clear" w:color="auto"/>
                <w:lang w:val="en-US" w:eastAsia="zh-CN" w:bidi="ar"/>
              </w:rPr>
              <w:br/>
            </w:r>
            <w:r>
              <w:rPr>
                <w:rFonts w:hint="eastAsia" w:ascii="宋体" w:hAnsi="宋体" w:eastAsia="宋体" w:cs="宋体"/>
                <w:i w:val="0"/>
                <w:color w:val="000000"/>
                <w:sz w:val="21"/>
                <w:szCs w:val="21"/>
                <w:u w:val="none"/>
                <w:shd w:val="clear" w:color="auto"/>
                <w:lang w:val="en-US" w:eastAsia="zh-CN" w:bidi="ar"/>
              </w:rPr>
              <w:t xml:space="preserve">支持闯红灯、逆行、闯单行线、闯禁区等违法行为抓拍功能；</w:t>
            </w:r>
            <w:r>
              <w:rPr>
                <w:rFonts w:hint="eastAsia" w:ascii="宋体" w:hAnsi="宋体" w:eastAsia="宋体" w:cs="宋体"/>
                <w:i w:val="0"/>
                <w:color w:val="000000"/>
                <w:sz w:val="21"/>
                <w:szCs w:val="21"/>
                <w:u w:val="none"/>
                <w:shd w:val="clear" w:color="auto"/>
                <w:lang w:val="en-US" w:eastAsia="zh-CN" w:bidi="ar"/>
              </w:rPr>
              <w:br/>
            </w:r>
            <w:r>
              <w:rPr>
                <w:rFonts w:hint="eastAsia" w:ascii="宋体" w:hAnsi="宋体" w:eastAsia="宋体" w:cs="宋体"/>
                <w:i w:val="0"/>
                <w:color w:val="000000"/>
                <w:sz w:val="21"/>
                <w:szCs w:val="21"/>
                <w:u w:val="none"/>
                <w:shd w:val="clear" w:color="auto"/>
                <w:lang w:val="en-US" w:eastAsia="zh-CN" w:bidi="ar"/>
              </w:rPr>
              <w:t xml:space="preserve">可适配具备 GA/T1202-2022《交通技术监控成像补光装置通用技术条件》的一级频闪补光设备；</w:t>
            </w:r>
            <w:r>
              <w:rPr>
                <w:rFonts w:hint="eastAsia" w:ascii="宋体" w:hAnsi="宋体" w:eastAsia="宋体" w:cs="宋体"/>
                <w:i w:val="0"/>
                <w:color w:val="000000"/>
                <w:sz w:val="21"/>
                <w:szCs w:val="21"/>
                <w:u w:val="none"/>
                <w:shd w:val="clear" w:color="auto"/>
                <w:lang w:val="en-US" w:eastAsia="zh-CN" w:bidi="ar"/>
              </w:rPr>
              <w:br/>
            </w:r>
            <w:r>
              <w:rPr>
                <w:rFonts w:hint="eastAsia" w:ascii="宋体" w:hAnsi="宋体" w:eastAsia="宋体" w:cs="宋体"/>
                <w:i w:val="0"/>
                <w:color w:val="000000"/>
                <w:sz w:val="21"/>
                <w:szCs w:val="21"/>
                <w:u w:val="none"/>
                <w:shd w:val="clear" w:color="auto"/>
                <w:lang w:val="en-US" w:eastAsia="zh-CN" w:bidi="ar"/>
              </w:rPr>
              <w:t xml:space="preserve">当环境照度≥10lux时，可无需使用外置频闪补光设备；</w:t>
            </w:r>
            <w:r>
              <w:rPr>
                <w:rFonts w:hint="eastAsia" w:ascii="宋体" w:hAnsi="宋体" w:eastAsia="宋体" w:cs="宋体"/>
                <w:i w:val="0"/>
                <w:color w:val="000000"/>
                <w:sz w:val="21"/>
                <w:szCs w:val="21"/>
                <w:u w:val="none"/>
                <w:shd w:val="clear" w:color="auto"/>
                <w:lang w:val="en-US" w:eastAsia="zh-CN" w:bidi="ar"/>
              </w:rPr>
              <w:br/>
            </w:r>
            <w:r>
              <w:rPr>
                <w:rFonts w:hint="eastAsia" w:ascii="宋体" w:hAnsi="宋体" w:eastAsia="宋体" w:cs="宋体"/>
                <w:i w:val="0"/>
                <w:color w:val="000000"/>
                <w:sz w:val="21"/>
                <w:szCs w:val="21"/>
                <w:u w:val="none"/>
                <w:shd w:val="clear" w:color="auto"/>
                <w:lang w:val="en-US" w:eastAsia="zh-CN" w:bidi="ar"/>
              </w:rPr>
              <w:t xml:space="preserve">支持在无外置补光设备条件下，抓拍图像清晰且满足《道路交通安全违法行为图像取证技术规范》中对图片的各项要求；</w:t>
            </w:r>
            <w:r>
              <w:rPr>
                <w:rFonts w:hint="eastAsia" w:ascii="宋体" w:hAnsi="宋体" w:eastAsia="宋体" w:cs="宋体"/>
                <w:i w:val="0"/>
                <w:color w:val="000000"/>
                <w:sz w:val="21"/>
                <w:szCs w:val="21"/>
                <w:u w:val="none"/>
                <w:shd w:val="clear" w:color="auto"/>
                <w:lang w:val="en-US" w:eastAsia="zh-CN" w:bidi="ar"/>
              </w:rPr>
              <w:br/>
            </w:r>
            <w:r>
              <w:rPr>
                <w:rFonts w:hint="eastAsia" w:ascii="宋体" w:hAnsi="宋体" w:eastAsia="宋体" w:cs="宋体"/>
                <w:i w:val="0"/>
                <w:color w:val="000000"/>
                <w:sz w:val="21"/>
                <w:szCs w:val="21"/>
                <w:u w:val="none"/>
                <w:shd w:val="clear" w:color="auto"/>
                <w:lang w:val="en-US" w:eastAsia="zh-CN" w:bidi="ar"/>
              </w:rPr>
              <w:t xml:space="preserve">含摄像机、高清镜头、室外防护罩、万向节、电源适配器、64G存储卡等；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智能补光灯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LED灯珠数</w:t>
            </w:r>
            <w:r>
              <w:rPr>
                <w:rFonts w:hint="eastAsia" w:ascii="宋体" w:hAnsi="宋体" w:eastAsia="宋体" w:cs="宋体"/>
                <w:i w:val="0"/>
                <w:color w:val="000000"/>
                <w:sz w:val="21"/>
                <w:szCs w:val="21"/>
                <w:u w:val="none"/>
                <w:shd w:val="clear" w:color="auto"/>
                <w:lang w:val="en-US" w:eastAsia="zh-CN" w:bidi="ar"/>
              </w:rPr>
              <w:t xml:space="preserve">量：≥24颗；</w:t>
            </w:r>
            <w:r>
              <w:rPr>
                <w:rFonts w:hint="eastAsia" w:ascii="宋体" w:hAnsi="宋体" w:eastAsia="宋体" w:cs="宋体"/>
                <w:i w:val="0"/>
                <w:color w:val="000000"/>
                <w:sz w:val="21"/>
                <w:szCs w:val="21"/>
                <w:u w:val="none"/>
                <w:lang w:val="en-US" w:eastAsia="zh-CN" w:bidi="ar"/>
              </w:rPr>
              <w:t xml:space="preserve">色温：白光＜4000K，红外光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网络、电源二合一防雷保护器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shd w:val="clear" w:color="auto"/>
                <w:lang w:val="en-US" w:eastAsia="zh-CN" w:bidi="ar"/>
              </w:rPr>
              <w:t xml:space="preserve">网管型5口交换机，含至少1个千兆光口、4个百兆电口，含单模光模块。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117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抱杆箱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材质：1.5mm厚不锈钢板箱体、4mm绝缘安装板、不锈钢内铰链、防盗通用锁、 密封条、防尘棉、空开轨道等。含1个2P25A空开，4个1P16A空开，规格：550×400×220mm，防护等级不低于IP55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8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货车禁行标志牌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直径Φ800mm+辅助标志牌（中、重型货车），附着安装，含抱箍等安装辅材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交通监控设备标志牌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白底、蓝图形、黑边框、白色衬边，700mm*900mm，不低于Ⅳ级反光膜，附着安装，含抱箍等安装辅材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shd w:val="clear" w:color="auto" w:fill="auto"/>
            <w:tcBorders>
              <w:top w:val="none" w:color="000000" w:sz="4" w:space="0"/>
              <w:left w:val="single" w:color="000000" w:sz="4" w:space="0"/>
              <w:bottom w:val="single" w:color="auto"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杆件</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成品八棱杆，竖杆:八棱杆φ(280～220)×6700×8，横臂六棱杆φ(180～100)×5000×6，尾臂φ180×1500×6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w:t>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基础尺寸：1000*1000*2200（mm），C30混凝土基础，含地笼、配筋、基础接地等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top"/>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控制线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top"/>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RVSP2*1.0mm²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4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KVV3*1.0mm²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KVV3*2.5mm²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320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2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top"/>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top"/>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室外单模4芯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both"/>
              <w:keepLines w:val="0"/>
              <w:keepNext w:val="0"/>
              <w:widowControl/>
              <w:rPr>
                <w:rFonts w:hint="eastAsia" w:ascii="宋体" w:hAnsi="宋体" w:eastAsia="宋体" w:cs="宋体"/>
                <w:i w:val="0"/>
                <w:color w:val="auto"/>
                <w:sz w:val="21"/>
                <w:szCs w:val="21"/>
                <w:u w:val="none"/>
              </w:rPr>
              <w:suppressLineNumbers w:val="0"/>
            </w:pPr>
            <w:r>
              <w:rPr>
                <w:rStyle w:val="765"/>
                <w:rFonts w:hint="eastAsia" w:ascii="宋体" w:hAnsi="宋体" w:eastAsia="宋体" w:cs="宋体"/>
                <w:color w:val="auto"/>
                <w:sz w:val="21"/>
                <w:szCs w:val="21"/>
                <w:lang w:val="en-US" w:eastAsia="zh-CN" w:bidi="ar"/>
              </w:rPr>
              <w:t xml:space="preserve">4端口，室外防水，PC材质</w:t>
            </w:r>
            <w:r>
              <w:rPr>
                <w:rStyle w:val="766"/>
                <w:rFonts w:hint="eastAsia" w:ascii="宋体" w:hAnsi="宋体" w:eastAsia="宋体" w:cs="宋体"/>
                <w:color w:val="auto"/>
                <w:sz w:val="21"/>
                <w:szCs w:val="21"/>
                <w:lang w:val="en-US" w:eastAsia="zh-CN" w:bidi="ar"/>
              </w:rPr>
              <w:t xml:space="preserve">，不含熔接费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5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both"/>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bidi="ar"/>
              </w:rPr>
              <w:t xml:space="preserve">单芯单模尾纤，3米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both"/>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bidi="ar"/>
              </w:rPr>
              <w:t xml:space="preserve">双芯单模跳线，3米，接口类型根据交换机定制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5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both"/>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接地连接线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BV-10mm²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7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接地镀锌角钢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L5X5, L=2.5m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热镀锌扁钢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40X4热镀锌扁钢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55"/>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3"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四、违停抓拍系统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71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违停抓拍球型摄像机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不低于400W像素，分辨率不低于2560*1440；</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不低于33倍光学变焦，不低于16倍数字变焦；</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星光级低照度，彩色不高于0.0002 Lux，黑白不高于0.0001Lux；</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补光灯照射距离≥100米；</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支持强光抑制、电子透雾、电子防抖、背光补偿、3D降噪、超宽动态等；</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水平范围：360°连续旋转，垂直范围：-20°～90°(自动翻转）；</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支持H.265/H.264/MJPEG编码格式；</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支持车头、车尾抓拍模式；</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支持机动车、非机动车、行人抓拍；</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抓拍图片格式采用JPEG编码，图片质量可设；</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支持车牌号码、车牌颜色、车身颜色、车型识别、流量统计等智能识别；</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支持违停取证、微卡口、压线、变道、逆行、非法占道等违法行为抓拍功能；</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支持违停自动检测、云台自动控制、车牌特写抓拍、车牌号码识别、违法信息输出等功能；</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支持Onvif、GB28181、GB35114、视图库等接入协议；</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支持图像防篡改，图片OSD信息包含时间、地点、车牌特征信息、违法种类、违法代码等信息；</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支持多码流输出功能；</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至少1路双向音频，至少4路告警输入，至少2路告警输出，至少1路RS485；</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防护等级：不低于IP66；</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含电源适配器、64G存储卡等。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违停信息发布屏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P10室外双色诱导屏净尺寸：2.88m（宽）*0.64m（高），含数据对接等</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含控制卡、屏体框架、安装支架、电源等</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含车辆违停违法数据对接；防护等级不低于IP65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网络、电源二合一防雷保护器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不对称U型支架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定制，不对称U型支架，含抱箍、底座等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网管型5口交换机，含至少1个千兆光口、4个百兆电口，含单模光模块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76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shd w:val="clear" w:color="auto" w:fill="auto"/>
            <w:tcBorders>
              <w:top w:val="none" w:color="000000" w:sz="4" w:space="0"/>
              <w:left w:val="single" w:color="000000" w:sz="4" w:space="0"/>
              <w:bottom w:val="non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杆件</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成品八棱杆，竖杆:八棱杆φ(280～220)×6700×8，横臂六棱杆φ(180～100)×5000×6，尾臂φ180×1500×6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基础尺寸：1000*1000*2200（mm），C30混凝土基础，含地笼、配筋、基础接地等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4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RVV3*1.0mm²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320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RVV3*2.5mm²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960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320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室外单模4芯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1440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103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抱杆箱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bidi="ar"/>
              </w:rPr>
              <w:t xml:space="preserve">材质：1.5mm厚不锈钢板箱体、4mm绝缘安装板、不锈钢内铰链、防盗通用锁、 密封条、防尘棉、空开轨道等。含1个2P25A空开，4个1P16A空开，规格：550×400×220mm，防护等级不低于IP55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auto"/>
                <w:sz w:val="21"/>
                <w:szCs w:val="21"/>
                <w:u w:val="none"/>
              </w:rPr>
              <w:suppressLineNumbers w:val="0"/>
            </w:pPr>
            <w:r>
              <w:rPr>
                <w:rStyle w:val="765"/>
                <w:rFonts w:hint="eastAsia" w:ascii="宋体" w:hAnsi="宋体" w:eastAsia="宋体" w:cs="宋体"/>
                <w:color w:val="auto"/>
                <w:sz w:val="21"/>
                <w:szCs w:val="21"/>
                <w:lang w:val="en-US" w:eastAsia="zh-CN" w:bidi="ar"/>
              </w:rPr>
              <w:t xml:space="preserve">4端口，室外防水，PC材质</w:t>
            </w:r>
            <w:r>
              <w:rPr>
                <w:rStyle w:val="766"/>
                <w:rFonts w:hint="eastAsia" w:ascii="宋体" w:hAnsi="宋体" w:eastAsia="宋体" w:cs="宋体"/>
                <w:color w:val="auto"/>
                <w:sz w:val="21"/>
                <w:szCs w:val="21"/>
                <w:lang w:val="en-US" w:eastAsia="zh-CN" w:bidi="ar"/>
              </w:rPr>
              <w:t xml:space="preserve">，不含熔接费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bidi="ar"/>
              </w:rPr>
              <w:t xml:space="preserve">单芯单模尾纤，3米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128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bidi="ar"/>
              </w:rPr>
              <w:t xml:space="preserve">双芯单模跳线，3米，接口类型根据交换机定制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128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接地连接线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BV-10mm²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接地镀锌角钢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L5X5, L=2.5m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热镀锌扁钢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40X4热镀锌扁钢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违停警告标志牌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1600mm（高）*900mm（宽），不低于Ⅳ级反光膜，附着安装，含抱箍等安装辅材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交通监控设备标志牌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白底、蓝图形、黑边框、白色衬边，700mm*900mm，不低于Ⅳ级反光膜，附着安装，含抱箍等安装辅材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含安装辅材等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网络传输租用费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三年，千兆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3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3"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五、不礼让行人抓拍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微光高清抓拍单元（尾牌）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不低于900W像素；</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包含高清一体化嵌入式摄像机、高清镜头 (根据场景实际情况确定镜头大小)、室外防护罩、相机内置网络信号防雷装置与补光灯、128G存储卡等；</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前端采用双GPU或双sensor</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最低照度，彩色：≤0.005Lux，黑白：≤0.0025Lux</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传感器分辨率≥4096×2160</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传感器靶面≥1"</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内置补光灯，柔光补光距离≥30m</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支持H.265/H.264/MJPEG编码格式</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支持GB/T28181、GA/T1400和Onvif协议，确保兼容性</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具有≥2个RJ45 10M/100M/1000M自适应以太网口、≥4个通用半双工RS485接口，≥2个快接RS485接口、≥1路RS232、≥1路告警输入/4路光耦开关量输出/1路继电器告警输出、≥1路音频输入、≥1路音频输出、≥1个USB接口、≥1个TF卡接口、≥1个复位按键</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防护等级：不低于IP65</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所适配的补光灯需满足公安部权威机构认证的GA/T1202-2022《交通技术监控成像补光装置通用技术条件》</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b/>
                <w:bCs/>
                <w:i w:val="0"/>
                <w:color w:val="000000"/>
                <w:sz w:val="21"/>
                <w:szCs w:val="21"/>
                <w:u w:val="none"/>
                <w:lang w:val="en-US" w:eastAsia="zh-CN" w:bidi="ar"/>
              </w:rPr>
              <w:t xml:space="preserve">★设备内置镜头模组支架装置，可以移除鬼影</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设备支持补光灯简易接口设计，可通过2个RJ45接口控制外置补光灯，支持调节补光灯亮度</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b/>
                <w:bCs/>
                <w:i w:val="0"/>
                <w:color w:val="000000"/>
                <w:sz w:val="21"/>
                <w:szCs w:val="21"/>
                <w:u w:val="none"/>
                <w:lang w:val="en-US" w:eastAsia="zh-CN" w:bidi="ar"/>
              </w:rPr>
              <w:t xml:space="preserve">★支持AI车牌增强功能，开启后可防止车牌过曝，支持蓝牌、黄牌、白牌、黑牌、绿牌、黄绿双拼牌；</w:t>
            </w:r>
            <w:r>
              <w:rPr>
                <w:rFonts w:hint="eastAsia" w:ascii="宋体" w:hAnsi="宋体" w:eastAsia="宋体" w:cs="宋体"/>
                <w:i w:val="0"/>
                <w:color w:val="000000"/>
                <w:sz w:val="21"/>
                <w:szCs w:val="21"/>
                <w:u w:val="none"/>
                <w:lang w:val="en-US" w:eastAsia="zh-CN" w:bidi="ar"/>
              </w:rPr>
              <w:t xml:space="preserve">支持AI车窗增强功能，开启后可去除白天车窗反光和彩条纹</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支持非机动车闯红灯、逆行、占用机动车道、越线停车、闯禁令、超载、装载伞具、不戴头盔等违法抓拍，识别准确率≥99%</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b/>
                <w:bCs/>
                <w:i w:val="0"/>
                <w:color w:val="000000"/>
                <w:sz w:val="21"/>
                <w:szCs w:val="21"/>
                <w:u w:val="none"/>
                <w:lang w:val="en-US" w:eastAsia="zh-CN" w:bidi="ar"/>
              </w:rPr>
              <w:t xml:space="preserve">★支持车辆人行道通行未减速抓拍功能，抓拍图片符合GA/T1244-2015标准的相关要求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网络、电源二合一防雷保护器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5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补光灯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光源类型：≥16颗LED；覆盖范围：单车道环境补光灯；补光范围：16米～25米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至少1个百兆光口，2个百兆电口，含光模块、电源等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网管型5口交换机，含至少1个千兆光口、4个百兆电口，含单模光模块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100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抱杆箱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材质：1.5mm厚不锈钢板箱体、4mm绝缘安装板、不锈钢内铰链、防盗通用锁、 密封条、防尘棉、空开轨道等。含1个2P25A空开，4个1P16A空开，规格：550×400×220mm，防护等级不低于IP55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RVV3*1.0mm²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2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RVV3*2.5mm²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室外屏蔽超五类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8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交通监控设备标志牌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白底、蓝图形、黑边框、白色衬边，700mm*900mm，不低于Ⅳ级反光膜，附着安装，含抱箍等安装辅材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11</w:t>
            </w:r>
            <w:r/>
          </w:p>
        </w:tc>
        <w:tc>
          <w:tcPr>
            <w:shd w:val="clear" w:color="auto" w:fill="auto"/>
            <w:tcBorders>
              <w:top w:val="none" w:color="000000" w:sz="4" w:space="0"/>
              <w:left w:val="single" w:color="000000" w:sz="4" w:space="0"/>
              <w:bottom w:val="non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杆件</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成品八棱杆，竖杆:八棱杆φ(280～220)×6700×8，横臂六棱杆φ(180～100)×5000×6，尾臂φ180×1500×6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基础尺寸：1000*1000*2200（mm），C30混凝土基础，含地笼、配筋、基础接地等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室外单模4芯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Style w:val="765"/>
                <w:rFonts w:hint="eastAsia" w:ascii="宋体" w:hAnsi="宋体" w:eastAsia="宋体" w:cs="宋体"/>
                <w:sz w:val="21"/>
                <w:szCs w:val="21"/>
                <w:lang w:val="en-US" w:eastAsia="zh-CN" w:bidi="ar"/>
              </w:rPr>
              <w:t xml:space="preserve">4端口，室外防水，PC材质</w:t>
            </w:r>
            <w:r>
              <w:rPr>
                <w:rStyle w:val="766"/>
                <w:rFonts w:hint="eastAsia" w:ascii="宋体" w:hAnsi="宋体" w:eastAsia="宋体" w:cs="宋体"/>
                <w:color w:val="000000" w:themeColor="text1"/>
                <w:sz w:val="21"/>
                <w:szCs w:val="21"/>
                <w:lang w:val="en-US" w:eastAsia="zh-CN" w:bidi="ar"/>
              </w:rPr>
              <w:t xml:space="preserve">，不含熔接费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单芯单模尾纤，3米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双芯单模跳线，3米，接口类型根据交换机定制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网络租赁费用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三年，裸纤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接地连接线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BV-10mm²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接地镀锌角钢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L5X5, L=2.5m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热镀锌扁钢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40X4热镀锌扁钢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548"/>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3"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六、智慧铁骑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753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铁骑车载一体式主机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主屏尺寸：≥4.7 英寸</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触摸屏：电容屏、5点触控、支持手套、手势和雨水操作功能</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主屏材质：IPS高清硬屏</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主屏分辨率：≥HD 1280*720</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网络模式：支持不限于LTE-TDD/LTE-FDD/TD-SCDMA/EVDO 4G无线网络传输(全网通)</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定位：北斗</w:t>
            </w:r>
            <w:r>
              <w:rPr>
                <w:rFonts w:hint="eastAsia" w:ascii="宋体" w:hAnsi="宋体" w:eastAsia="宋体" w:cs="宋体"/>
                <w:b/>
                <w:bCs/>
                <w:i w:val="0"/>
                <w:color w:val="000000"/>
                <w:sz w:val="21"/>
                <w:szCs w:val="21"/>
                <w:u w:val="none"/>
                <w:lang w:val="en-US" w:eastAsia="zh-CN" w:bidi="ar"/>
              </w:rPr>
              <w:t xml:space="preserve">（工信部认证检测报告)</w:t>
            </w:r>
            <w:r>
              <w:rPr>
                <w:rFonts w:hint="eastAsia" w:ascii="宋体" w:hAnsi="宋体" w:eastAsia="宋体" w:cs="宋体"/>
                <w:b/>
                <w:bCs/>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机身内存：≥64GB ROM+4GB RAM</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存储卡：可扩展至128GB</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数据业务: LTE</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麦克：内置硅麦克风</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喇叭：40mm喇叭、10欧姆</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物理按键定义：机身自带开机键和三个自定义进系统按键，外接一个自定义进系统按键（抓拍键）</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传感器：地磁传感器、重力传感器、陀螺仪</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防护等级: 具备≥IP67防尘防水功能、专业防震、满足户外使用需求</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摩托车电源：摩托车启动终端自动开机，摩托车熄火终端自动关机</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蓝牙传输：支持蓝牙BT4.2</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CPU频率：≥8核2.0GHz</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音频输出: 内置麦克风和扬声器</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供电方式: PoE/DC8-36V</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电流及功耗: 摩托车启动终端自动开机，摩托车熄火终端自动关机，采用 STM8S103F3P6进行控制</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智慧铁骑设备应满足将执法记录、违停抓拍、缉查布控、视频取证、定位上传等多项功能集成于一体，通过智能识别、自动取证、数据实时上传，依托A1识别算法与视频流实时识别等技术；</w:t>
            </w:r>
            <w:r/>
          </w:p>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业务功能具备全自动违停识别取证、非现场执法、过车数据实时采集、移动卡口缉查布控（实时比对黑名单车辆）、“人车绑定”与勤务管理；</w:t>
            </w:r>
            <w:r/>
          </w:p>
          <w:p>
            <w:pPr>
              <w:jc w:val="left"/>
              <w:keepLines w:val="0"/>
              <w:keepNext w:val="0"/>
              <w:widowControl/>
              <w:rPr>
                <w:rFonts w:hint="eastAsia"/>
              </w:rPr>
              <w:suppressLineNumbers w:val="0"/>
            </w:pPr>
            <w:r>
              <w:rPr>
                <w:rFonts w:hint="eastAsia" w:ascii="宋体" w:hAnsi="宋体" w:eastAsia="宋体" w:cs="宋体"/>
                <w:i w:val="0"/>
                <w:color w:val="000000"/>
                <w:sz w:val="21"/>
                <w:szCs w:val="21"/>
                <w:u w:val="none"/>
                <w:lang w:val="en-US" w:eastAsia="zh-CN" w:bidi="ar"/>
              </w:rPr>
              <w:t xml:space="preserve">含与公安部集指平台对接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四路感知摄像头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外接摄像头1(前)：500万长焦摄像头、1080P分辨率、30fps 帧率、1920*1080宽动态、具备IP67防尘防水功能</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外接摄像头2(后)：500万摄像头、1080P分辨率、30fps 帧率、1920*1080宽动态、广角100°具备IP67防尘防水功能</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外接摄像头3(侧前)：500万定制短焦摄像头、1080P分辨率、30fps 帧率、广角100°植入AI识别算法、具备 IP67 防尘防水功能</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外接摄像头4(侧后)：500万定制短焦摄像头、1080P分辨率、30fps 帧率、广角100°植入AI识别算法、具备 IP67 防尘防水功能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抓拍按钮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CNC灵敏度百分之99以上</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定位模块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单北斗信号接收模块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3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3"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七、机房扩容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26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交警汇聚交换机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1、交换容量≥4.8Tbps，包转发率≥2000Mpps</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2、10GE光接口数量≥48个，40/100GE光接口≥6个</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3、CPU为国产自研芯片</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4、支持ERPS以太环保护协议</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5、支持无丢包缓存自动配置</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6、支持识别流量模型，动态调节ECN门限</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7、支持VxLAN OAM: VxLAN ping, VxLAN tracert</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8、48个万兆多模光模块，4个40G多模光模块，1根 QSFP+ 40GE 高速电缆-3M，5年原厂维保</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20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标准机架式，需配备≥288T存储空间；不少于36 盘位；至少包含2个万兆光口（含光模块）、2个千兆电口；处理器采用2*海光7360（或鲲鹏920 5220处理器），单颗处理器不少24核，主频不低于2.0GHz；不低于128GB内存；操作系统伟国产银河麒麟（或openeuler）；无缝接入支队现有云存储管理平台，含配套万兆光模块、光纤跳线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9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03" w:type="dxa"/>
            <w:vAlign w:val="center"/>
            <w:textDirection w:val="lrTb"/>
            <w:noWrap w:val="false"/>
          </w:tcPr>
          <w:p>
            <w:pPr>
              <w:jc w:val="left"/>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八、其他配套费用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预埋钢管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DN100无缝镀锌钢管，壁厚3.5mm，内衬Φ80尼龙管，含管接件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硅芯管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HDPE63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1950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开挖绿化路面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宽度400mm，深度600mm，土方回填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950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开挖道板路面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宽度400mm，深度600mm，土方回填，5cm碎石层，10cm混凝土层，水泥砂浆找平层及道板砖面层恢复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1950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开挖沥青路面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宽度600mm，深度800mm，混凝土包封至距路面100mm、60mm中粒式沥青层、40mm细粒式细沥青层及沥青面层恢复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9"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74"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5"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内径500*500*800mm，砖砌式基础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r>
    </w:tbl>
    <w:p>
      <w:pPr>
        <w:ind w:firstLine="420"/>
        <w:spacing w:line="360" w:lineRule="auto"/>
        <w:shd w:val="clear" w:color="auto"/>
        <w:rPr>
          <w:rFonts w:hint="eastAsia" w:asciiTheme="minorEastAsia" w:hAnsiTheme="minorEastAsia" w:eastAsiaTheme="minorEastAsia" w:cstheme="minorEastAsia"/>
          <w:b/>
          <w:bCs w:val="0"/>
          <w:color w:val="auto"/>
          <w:sz w:val="21"/>
          <w:szCs w:val="21"/>
          <w:highlight w:val="none"/>
          <w:lang w:eastAsia="zh-CN"/>
        </w:rPr>
      </w:pPr>
      <w:r>
        <w:rPr>
          <w:rFonts w:hint="eastAsia" w:asciiTheme="minorEastAsia" w:hAnsiTheme="minorEastAsia" w:eastAsiaTheme="minorEastAsia" w:cstheme="minorEastAsia"/>
          <w:b/>
          <w:bCs w:val="0"/>
          <w:color w:val="auto"/>
          <w:sz w:val="21"/>
          <w:szCs w:val="21"/>
          <w:highlight w:val="none"/>
        </w:rPr>
        <w:t xml:space="preserve">注：1、</w:t>
      </w:r>
      <w:r>
        <w:rPr>
          <w:rFonts w:hint="eastAsia" w:asciiTheme="minorEastAsia" w:hAnsiTheme="minorEastAsia" w:eastAsiaTheme="minorEastAsia" w:cstheme="minorEastAsia"/>
          <w:b/>
          <w:bCs w:val="0"/>
          <w:color w:val="auto"/>
          <w:sz w:val="21"/>
          <w:szCs w:val="21"/>
          <w:highlight w:val="none"/>
          <w:lang w:val="en-US" w:eastAsia="zh-CN"/>
        </w:rPr>
        <w:t xml:space="preserve">本项目</w:t>
      </w:r>
      <w:r>
        <w:rPr>
          <w:rFonts w:hint="eastAsia" w:asciiTheme="minorEastAsia" w:hAnsiTheme="minorEastAsia" w:eastAsiaTheme="minorEastAsia" w:cstheme="minorEastAsia"/>
          <w:b/>
          <w:bCs w:val="0"/>
          <w:color w:val="auto"/>
          <w:sz w:val="21"/>
          <w:szCs w:val="21"/>
          <w:highlight w:val="none"/>
        </w:rPr>
        <w:t xml:space="preserve">核心产品</w:t>
      </w:r>
      <w:r>
        <w:rPr>
          <w:rFonts w:hint="eastAsia" w:asciiTheme="minorEastAsia" w:hAnsiTheme="minorEastAsia" w:eastAsiaTheme="minorEastAsia" w:cstheme="minorEastAsia"/>
          <w:b/>
          <w:bCs w:val="0"/>
          <w:color w:val="auto"/>
          <w:sz w:val="21"/>
          <w:szCs w:val="21"/>
          <w:highlight w:val="none"/>
          <w:lang w:val="en-US" w:eastAsia="zh-CN"/>
        </w:rPr>
        <w:t xml:space="preserve">为</w:t>
      </w:r>
      <w:r>
        <w:rPr>
          <w:rFonts w:hint="eastAsia" w:asciiTheme="minorEastAsia" w:hAnsiTheme="minorEastAsia" w:eastAsiaTheme="minorEastAsia" w:cstheme="minorEastAsia"/>
          <w:b/>
          <w:bCs w:val="0"/>
          <w:color w:val="auto"/>
          <w:sz w:val="21"/>
          <w:szCs w:val="21"/>
          <w:highlight w:val="none"/>
        </w:rPr>
        <w:t xml:space="preserve">:多目抓拍摄像机</w:t>
      </w:r>
      <w:r/>
    </w:p>
    <w:p>
      <w:pPr>
        <w:numPr>
          <w:ilvl w:val="0"/>
          <w:numId w:val="3"/>
        </w:numPr>
        <w:ind w:left="0" w:firstLine="422"/>
        <w:spacing w:line="360" w:lineRule="auto"/>
        <w:shd w:val="clear" w:color="auto"/>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lang w:val="en-US" w:eastAsia="zh-CN"/>
        </w:rPr>
        <w:t xml:space="preserve">以上</w:t>
      </w:r>
      <w:r>
        <w:rPr>
          <w:rFonts w:hint="eastAsia" w:asciiTheme="minorEastAsia" w:hAnsiTheme="minorEastAsia" w:eastAsiaTheme="minorEastAsia" w:cstheme="minorEastAsia"/>
          <w:b/>
          <w:bCs w:val="0"/>
          <w:color w:val="auto"/>
          <w:sz w:val="21"/>
          <w:szCs w:val="21"/>
          <w:highlight w:val="none"/>
        </w:rPr>
        <w:t xml:space="preserve">带★项技术参数为重要参数指标，投标人须提供具有法定资质的第三方检测机构出具的检测报告复印件</w:t>
      </w:r>
      <w:r>
        <w:rPr>
          <w:rFonts w:hint="eastAsia" w:asciiTheme="minorEastAsia" w:hAnsiTheme="minorEastAsia" w:eastAsiaTheme="minorEastAsia" w:cstheme="minorEastAsia"/>
          <w:b/>
          <w:bCs w:val="0"/>
          <w:color w:val="auto"/>
          <w:sz w:val="21"/>
          <w:szCs w:val="21"/>
          <w:highlight w:val="none"/>
          <w:lang w:eastAsia="zh-CN"/>
        </w:rPr>
        <w:t xml:space="preserve">，</w:t>
      </w:r>
      <w:r>
        <w:rPr>
          <w:rFonts w:hint="eastAsia" w:asciiTheme="minorEastAsia" w:hAnsiTheme="minorEastAsia" w:eastAsiaTheme="minorEastAsia" w:cstheme="minorEastAsia"/>
          <w:b/>
          <w:bCs w:val="0"/>
          <w:color w:val="auto"/>
          <w:sz w:val="21"/>
          <w:szCs w:val="21"/>
          <w:highlight w:val="none"/>
        </w:rPr>
        <w:t xml:space="preserve">出具的证明材料须加投标单位公章。</w:t>
      </w:r>
      <w:r/>
    </w:p>
    <w:p>
      <w:pPr>
        <w:pStyle w:val="746"/>
        <w:numPr>
          <w:ilvl w:val="0"/>
          <w:numId w:val="3"/>
        </w:numPr>
        <w:ind w:left="0" w:firstLine="420"/>
        <w:shd w:val="clear" w:color="auto"/>
        <w:rPr>
          <w:rFonts w:hint="eastAsia"/>
          <w:sz w:val="21"/>
          <w:szCs w:val="21"/>
          <w:highlight w:val="none"/>
          <w:lang w:val="en-US" w:eastAsia="zh-CN"/>
        </w:rPr>
      </w:pPr>
      <w:r>
        <w:rPr>
          <w:rFonts w:hint="eastAsia"/>
          <w:sz w:val="21"/>
          <w:szCs w:val="21"/>
          <w:highlight w:val="none"/>
          <w:lang w:val="en-US" w:eastAsia="zh-CN"/>
        </w:rPr>
        <w:t xml:space="preserve">本章涉及到的品牌或规格型号均为参考，其目的是为了方便响应单位直观和准确把握相应产品/设备的技术标准，不具指定或唯一的意思表示，响应单位应当参考所列品牌/规格型号的产品/设备，采购相当于或高于所列品牌/规格型号技术标准的产品/设备。并提供相应证明材料证明其符合采购需求。</w:t>
      </w:r>
      <w:r/>
    </w:p>
    <w:p>
      <w:pPr>
        <w:ind w:firstLine="422"/>
        <w:spacing w:line="360" w:lineRule="auto"/>
        <w:shd w:val="clear" w:color="auto"/>
        <w:tabs>
          <w:tab w:val="left" w:pos="360" w:leader="none"/>
          <w:tab w:val="left" w:pos="420" w:leader="none"/>
          <w:tab w:val="left" w:pos="540" w:leader="none"/>
          <w:tab w:val="left" w:pos="720" w:leader="none"/>
          <w:tab w:val="left" w:pos="993"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b/>
          <w:bCs/>
          <w:sz w:val="21"/>
          <w:szCs w:val="21"/>
          <w:highlight w:val="none"/>
          <w:lang w:eastAsia="zh-CN"/>
        </w:rPr>
        <w:t xml:space="preserve">（</w:t>
      </w:r>
      <w:r>
        <w:rPr>
          <w:rFonts w:hint="eastAsia" w:ascii="宋体" w:hAnsi="宋体" w:eastAsia="宋体"/>
          <w:b/>
          <w:bCs/>
          <w:sz w:val="21"/>
          <w:szCs w:val="21"/>
          <w:highlight w:val="none"/>
          <w:lang w:val="en-US" w:eastAsia="zh-CN"/>
        </w:rPr>
        <w:t xml:space="preserve">二</w:t>
      </w:r>
      <w:r>
        <w:rPr>
          <w:rFonts w:hint="eastAsia" w:ascii="宋体" w:hAnsi="宋体" w:eastAsia="宋体"/>
          <w:b/>
          <w:bCs/>
          <w:sz w:val="21"/>
          <w:szCs w:val="21"/>
          <w:highlight w:val="none"/>
          <w:lang w:eastAsia="zh-CN"/>
        </w:rPr>
        <w:t xml:space="preserve">）</w:t>
      </w:r>
      <w:r>
        <w:rPr>
          <w:rFonts w:hint="eastAsia" w:ascii="宋体" w:hAnsi="宋体" w:eastAsia="宋体"/>
          <w:b/>
          <w:bCs/>
          <w:sz w:val="21"/>
          <w:szCs w:val="21"/>
          <w:highlight w:val="none"/>
        </w:rPr>
        <w:t xml:space="preserve">服务要求</w:t>
      </w:r>
      <w:r/>
    </w:p>
    <w:p>
      <w:pPr>
        <w:ind w:firstLine="482"/>
        <w:spacing w:line="360" w:lineRule="auto"/>
        <w:shd w:val="clear" w:color="auto"/>
        <w:rPr>
          <w:rFonts w:ascii="宋体" w:hAnsi="宋体" w:eastAsia="宋体" w:cs="宋体"/>
          <w:bCs/>
          <w:sz w:val="21"/>
          <w:szCs w:val="21"/>
          <w:highlight w:val="none"/>
        </w:rPr>
      </w:pPr>
      <w:r>
        <w:rPr>
          <w:rFonts w:hint="eastAsia" w:ascii="宋体" w:hAnsi="宋体" w:eastAsia="宋体" w:cs="宋体"/>
          <w:b/>
          <w:bCs/>
          <w:sz w:val="21"/>
          <w:szCs w:val="21"/>
          <w:highlight w:val="none"/>
          <w:lang w:val="en-US" w:eastAsia="zh-CN"/>
        </w:rPr>
        <w:t xml:space="preserve">1</w:t>
      </w:r>
      <w:r>
        <w:rPr>
          <w:rFonts w:hint="eastAsia" w:ascii="宋体" w:hAnsi="宋体" w:eastAsia="宋体"/>
          <w:b/>
          <w:bCs/>
          <w:sz w:val="21"/>
          <w:szCs w:val="21"/>
          <w:highlight w:val="none"/>
        </w:rPr>
        <w:t xml:space="preserve">、</w:t>
      </w:r>
      <w:r>
        <w:rPr>
          <w:rFonts w:hint="eastAsia" w:ascii="宋体" w:hAnsi="宋体" w:eastAsia="宋体" w:cs="宋体"/>
          <w:b/>
          <w:bCs/>
          <w:sz w:val="21"/>
          <w:szCs w:val="21"/>
          <w:highlight w:val="none"/>
        </w:rPr>
        <w:t xml:space="preserve">交</w:t>
      </w:r>
      <w:r>
        <w:rPr>
          <w:rFonts w:hint="eastAsia" w:ascii="宋体" w:hAnsi="宋体" w:eastAsia="宋体" w:cs="宋体"/>
          <w:b/>
          <w:sz w:val="21"/>
          <w:szCs w:val="21"/>
          <w:highlight w:val="none"/>
        </w:rPr>
        <w:t xml:space="preserve">货地点：</w:t>
      </w:r>
      <w:r>
        <w:rPr>
          <w:rFonts w:hint="eastAsia" w:ascii="宋体" w:hAnsi="宋体" w:eastAsia="宋体" w:cs="宋体"/>
          <w:sz w:val="21"/>
          <w:szCs w:val="21"/>
          <w:highlight w:val="none"/>
        </w:rPr>
        <w:t xml:space="preserve">采购人指定地点，在运输过程中所发生的一切费用及意外事项自负，采购人不再另行支付费用。</w:t>
      </w:r>
      <w:r/>
    </w:p>
    <w:p>
      <w:pPr>
        <w:ind w:firstLine="482"/>
        <w:spacing w:line="360" w:lineRule="auto"/>
        <w:shd w:val="clear" w:color="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rPr>
        <w:t xml:space="preserve">、项目实施</w:t>
      </w:r>
      <w:r>
        <w:rPr>
          <w:rFonts w:hint="eastAsia" w:ascii="宋体" w:hAnsi="宋体" w:eastAsia="宋体" w:cs="宋体"/>
          <w:b/>
          <w:sz w:val="21"/>
          <w:szCs w:val="21"/>
          <w:highlight w:val="none"/>
          <w:lang w:val="en-US" w:eastAsia="zh-CN"/>
        </w:rPr>
        <w:t xml:space="preserve">要求</w:t>
      </w:r>
      <w:r/>
    </w:p>
    <w:p>
      <w:pPr>
        <w:ind w:firstLine="482"/>
        <w:spacing w:line="360" w:lineRule="auto"/>
        <w:shd w:val="clear" w:color="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（1）项目组人员组成：包含（但不限于）项目负责人1名负责整体项目管理，包括进度、安全等、技术负责人1名负责项目整体实施推进、团队人员（除项目负责人、技术负责人外）</w:t>
      </w:r>
      <w:r>
        <w:rPr>
          <w:rFonts w:hint="eastAsia" w:ascii="宋体" w:hAnsi="宋体" w:eastAsia="宋体" w:cs="宋体"/>
          <w:b w:val="0"/>
          <w:bCs/>
          <w:sz w:val="21"/>
          <w:szCs w:val="21"/>
          <w:highlight w:val="none"/>
          <w:lang w:val="en-US" w:eastAsia="zh-CN"/>
        </w:rPr>
        <w:t xml:space="preserve">若干</w:t>
      </w:r>
      <w:r>
        <w:rPr>
          <w:rFonts w:hint="eastAsia" w:ascii="宋体" w:hAnsi="宋体" w:eastAsia="宋体" w:cs="宋体"/>
          <w:b w:val="0"/>
          <w:bCs/>
          <w:sz w:val="21"/>
          <w:szCs w:val="21"/>
          <w:highlight w:val="none"/>
        </w:rPr>
        <w:t xml:space="preserve">。</w:t>
      </w:r>
      <w:r/>
    </w:p>
    <w:p>
      <w:pPr>
        <w:ind w:firstLine="482"/>
        <w:spacing w:line="360" w:lineRule="auto"/>
        <w:shd w:val="clear" w:color="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（2）进度监控与应对措施：对可能出现的时序进度偏差达1天情况，要能及时发现并给出进度纠偏措施。</w:t>
      </w:r>
      <w:r/>
    </w:p>
    <w:p>
      <w:pPr>
        <w:ind w:firstLine="482"/>
        <w:spacing w:line="360" w:lineRule="auto"/>
        <w:shd w:val="clear" w:color="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（3）质量保证和控制措施：对布线、设备安装、调试要有质量监督检查的逐日记录表，对可能出现的质量问题有改进措施。</w:t>
      </w:r>
      <w:r/>
    </w:p>
    <w:p>
      <w:pPr>
        <w:ind w:firstLine="482"/>
        <w:spacing w:line="360" w:lineRule="auto"/>
        <w:shd w:val="clear" w:color="auto"/>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（4）中标单位应遵循信息技术服务标准，实施中应有专人负责信息安全，同时应保障视频数据安全。</w:t>
      </w:r>
      <w:r/>
    </w:p>
    <w:p>
      <w:pPr>
        <w:ind w:firstLine="482"/>
        <w:spacing w:line="360" w:lineRule="auto"/>
        <w:shd w:val="clear" w:color="auto"/>
        <w:rPr>
          <w:rFonts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 培训要求</w:t>
      </w:r>
      <w:r/>
    </w:p>
    <w:p>
      <w:pPr>
        <w:ind w:firstLine="482"/>
        <w:spacing w:line="360" w:lineRule="auto"/>
        <w:shd w:val="clear" w:color="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项目安装调试验收结束后，由专业技术工程师进行免费现场技术培训，列出培训计划。</w:t>
      </w:r>
      <w:r/>
    </w:p>
    <w:p>
      <w:pPr>
        <w:ind w:firstLine="482"/>
        <w:spacing w:line="360" w:lineRule="auto"/>
        <w:shd w:val="clear" w:color="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（1）基本使操作人员达到能独立进行设备的操作使用；</w:t>
      </w:r>
      <w:r/>
    </w:p>
    <w:p>
      <w:pPr>
        <w:ind w:firstLine="482"/>
        <w:spacing w:line="360" w:lineRule="auto"/>
        <w:shd w:val="clear" w:color="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（2）能独立进行设备的日常维护和常见故障的解决。培训费用已包含在设备总价款内。</w:t>
      </w:r>
      <w:r/>
    </w:p>
    <w:p>
      <w:pPr>
        <w:ind w:firstLine="480"/>
        <w:spacing w:line="360" w:lineRule="auto"/>
        <w:shd w:val="clear" w:color="auto"/>
        <w:rPr>
          <w:rFonts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4</w:t>
      </w:r>
      <w:r>
        <w:rPr>
          <w:rFonts w:hint="eastAsia" w:ascii="宋体" w:hAnsi="宋体" w:eastAsia="宋体" w:cs="宋体"/>
          <w:b/>
          <w:sz w:val="21"/>
          <w:szCs w:val="21"/>
          <w:highlight w:val="none"/>
        </w:rPr>
        <w:t xml:space="preserve">、安全生产</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（1）在项目实施及质保期间，中标单位应当配备必要的安全生产管理人员，负责强化项目实施人员安全教育和安全管理，如实施过程中存在人身安全风险的，中标单位应当为实施人员购买必要的人身安全保险。</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（2）所有作业人员均需按照国家法律法规之规定，取得对应上岗资格证书相关资格证书，方可上岗作业。</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3）中标单位应按照法律法规制定安全作业规范，在项目实施过程中，中标单位一方发生的一切安全事故或给第三方造成的损害，由中标单位自行承担责任，采购人不对中标单位项目实施人员负任何安全责任；若给采购人造成损失和伤害的，中标单位应承担相应责任，赔偿一切直接、间接损失</w:t>
      </w:r>
      <w:r/>
    </w:p>
    <w:p>
      <w:pPr>
        <w:ind w:firstLine="482"/>
        <w:spacing w:line="360" w:lineRule="auto"/>
        <w:shd w:val="clear" w:color="auto"/>
        <w:rPr>
          <w:rFonts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w:t>
      </w:r>
      <w:r>
        <w:rPr>
          <w:rFonts w:hint="eastAsia" w:ascii="宋体" w:hAnsi="宋体" w:eastAsia="宋体"/>
          <w:b/>
          <w:bCs/>
          <w:sz w:val="21"/>
          <w:szCs w:val="21"/>
          <w:highlight w:val="none"/>
        </w:rPr>
        <w:t xml:space="preserve">、</w:t>
      </w:r>
      <w:r>
        <w:rPr>
          <w:rFonts w:hint="eastAsia" w:ascii="宋体" w:hAnsi="宋体" w:eastAsia="宋体" w:cs="宋体"/>
          <w:b/>
          <w:bCs/>
          <w:sz w:val="21"/>
          <w:szCs w:val="21"/>
          <w:highlight w:val="none"/>
        </w:rPr>
        <w:t xml:space="preserve">包装和运输要求：</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（1）所有提供的软件和货物及配件质量、安装要求及质量标准必须严格按照国家规范及江苏省、苏州市相应地方规范、招标文件、材料厂家的技术规范的有关要求执行。</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（2）中标单位应对安装实施安全、质量全面负责，如中标单位原因造成质量、安全事故，中标单位承担一切经济法律责任。</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（3）投标人中标后，3个工作日内把详细的实施方案报送采购人审批，经批准同意后方可以组织实施。在安装调试期间，中标单位应无条件的遵守施工现场的各项规章制度。</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（4）安装调试期间，中标单位应无条件的接受采购方的监督，提出的安装调试问题要及时整改，整改完毕后通知采购人检查验收，合格后书面报送采购人备案。</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（5）中标单位必须按照安装设计要求和技术标准实施，不得擅自修改设计要求，不得偷工减料。</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（6）中标单位必须建立健全质量检查制度，严格工序管理，隐蔽工程在隐蔽前应通知采购人检查验收；本着谁施工谁负责产品保护，谁破坏产品谁负责赔偿的原则，中标单位必须采取切实有效的产品保护措施。</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（7）在安装、调试期间或保修过程中，中标单位负责及时清理现场垃圾。</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（8）在安装、调试期间或保修过程中，对现场原有成品造成的损坏，由中标单位负责修复及赔偿。</w:t>
      </w:r>
      <w:r/>
    </w:p>
    <w:p>
      <w:pPr>
        <w:ind w:firstLine="482"/>
        <w:spacing w:line="360" w:lineRule="auto"/>
        <w:shd w:val="clear" w:color="auto"/>
        <w:rPr>
          <w:rFonts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6</w:t>
      </w:r>
      <w:r>
        <w:rPr>
          <w:rFonts w:hint="eastAsia" w:ascii="宋体" w:hAnsi="宋体" w:eastAsia="宋体"/>
          <w:b/>
          <w:bCs/>
          <w:sz w:val="21"/>
          <w:szCs w:val="21"/>
          <w:highlight w:val="none"/>
        </w:rPr>
        <w:t xml:space="preserve">、</w:t>
      </w:r>
      <w:r>
        <w:rPr>
          <w:rFonts w:hint="eastAsia" w:ascii="宋体" w:hAnsi="宋体" w:eastAsia="宋体" w:cs="宋体"/>
          <w:b/>
          <w:bCs/>
          <w:sz w:val="21"/>
          <w:szCs w:val="21"/>
          <w:highlight w:val="none"/>
        </w:rPr>
        <w:t xml:space="preserve">售后服务要求：</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1</w:t>
      </w:r>
      <w:r>
        <w:rPr>
          <w:rFonts w:hint="eastAsia" w:ascii="宋体" w:hAnsi="宋体" w:eastAsia="宋体" w:cs="宋体"/>
          <w:sz w:val="21"/>
          <w:szCs w:val="21"/>
          <w:highlight w:val="none"/>
        </w:rPr>
        <w:t xml:space="preserve">）本项目免费质量保证期</w:t>
      </w:r>
      <w:r>
        <w:rPr>
          <w:rFonts w:hint="eastAsia" w:ascii="宋体" w:hAnsi="宋体" w:eastAsia="宋体" w:cs="宋体"/>
          <w:color w:val="auto"/>
          <w:sz w:val="21"/>
          <w:szCs w:val="21"/>
          <w:highlight w:val="white"/>
        </w:rPr>
        <w:t xml:space="preserve">不少于</w:t>
      </w:r>
      <w:r>
        <w:rPr>
          <w:rFonts w:ascii="宋体" w:hAnsi="宋体" w:eastAsia="宋体" w:cs="宋体"/>
          <w:color w:val="auto"/>
          <w:sz w:val="21"/>
          <w:szCs w:val="21"/>
          <w:highlight w:val="white"/>
        </w:rPr>
        <w:t xml:space="preserve">2</w:t>
      </w:r>
      <w:r>
        <w:rPr>
          <w:rFonts w:hint="eastAsia" w:ascii="宋体" w:hAnsi="宋体" w:eastAsia="宋体" w:cs="宋体"/>
          <w:color w:val="auto"/>
          <w:sz w:val="21"/>
          <w:szCs w:val="21"/>
          <w:highlight w:val="white"/>
        </w:rPr>
        <w:t xml:space="preserve">年</w:t>
      </w:r>
      <w:r>
        <w:rPr>
          <w:rFonts w:hint="eastAsia" w:ascii="宋体" w:hAnsi="宋体" w:eastAsia="宋体" w:cs="宋体"/>
          <w:sz w:val="21"/>
          <w:szCs w:val="21"/>
          <w:highlight w:val="none"/>
        </w:rPr>
        <w:t xml:space="preserve">，免费质量保证期从货物供货、安装、调试正常且经采购方确认验收合格之日起算。</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2</w:t>
      </w:r>
      <w:r>
        <w:rPr>
          <w:rFonts w:hint="eastAsia" w:ascii="宋体" w:hAnsi="宋体" w:eastAsia="宋体" w:cs="宋体"/>
          <w:sz w:val="21"/>
          <w:szCs w:val="21"/>
          <w:highlight w:val="none"/>
        </w:rPr>
        <w:t xml:space="preserve">）设备出现故障时，中标单位在接到用户通知后30分钟内响应，4小时内到达现场；12小时内解决问题。若不能立即修复的将在24小时内提供相同规格的产品或部件作代用品供采购人免费使用。投标人应严格遵守服务合约，项目完成以后，如采购单位有需要中标人配合的服务，中标人须予以配合。</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3</w:t>
      </w:r>
      <w:r>
        <w:rPr>
          <w:rFonts w:hint="eastAsia" w:ascii="宋体" w:hAnsi="宋体" w:eastAsia="宋体" w:cs="宋体"/>
          <w:sz w:val="21"/>
          <w:szCs w:val="21"/>
          <w:highlight w:val="none"/>
        </w:rPr>
        <w:t xml:space="preserve">）提供专业的系统培训，具有专业的售后服务团队。</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4</w:t>
      </w:r>
      <w:r>
        <w:rPr>
          <w:rFonts w:hint="eastAsia" w:ascii="宋体" w:hAnsi="宋体" w:eastAsia="宋体" w:cs="宋体"/>
          <w:sz w:val="21"/>
          <w:szCs w:val="21"/>
          <w:highlight w:val="none"/>
        </w:rPr>
        <w:t xml:space="preserve">）售后服务及运维服务要求：中标单位具备较强的专业技术能力、实施运维能力，要求在设备质保期及项目运维期内配备一定数量的售后运维服务团队，并确保服务团队人员稳定。各投标人需针对本项目组建项目服务小组，提供合理的人员配置方案。</w:t>
      </w:r>
      <w:r/>
    </w:p>
    <w:p>
      <w:pPr>
        <w:ind w:firstLine="482"/>
        <w:spacing w:line="360" w:lineRule="auto"/>
        <w:shd w:val="clear" w:color="auto"/>
        <w:rPr>
          <w:rFonts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、产品质量要求</w:t>
      </w:r>
      <w:r/>
    </w:p>
    <w:p>
      <w:pPr>
        <w:ind w:firstLine="482"/>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（1）产品质量符合国家质量标准和验收规范，并响应招标文件所规定技术性能要求，以及中标单位承诺的其他指标。</w:t>
      </w:r>
      <w:r/>
    </w:p>
    <w:p>
      <w:pPr>
        <w:ind w:firstLine="482"/>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（2）国家具有强制性标准的，所投产品须符合国家强制性标准。 </w:t>
      </w:r>
      <w:r/>
    </w:p>
    <w:p>
      <w:pPr>
        <w:ind w:firstLine="482"/>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（3）所有设备在到达现场时须经采购人技术人员记录验收，验货时须提交该产品的质量合格证明及服务质保证明文件。</w:t>
      </w:r>
      <w:r/>
    </w:p>
    <w:p>
      <w:pPr>
        <w:ind w:firstLine="482"/>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（4）所有设备、附（配）件应具备该类产品的功能要求，无瑕疵和缺陷，质量为合格产品，同时有明确的生产厂商或制造厂商。 </w:t>
      </w:r>
      <w:r/>
    </w:p>
    <w:p>
      <w:pPr>
        <w:ind w:firstLine="482"/>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（5）缺陷保修：如果设备交付使用后，缺陷多次反复出现，中标单位必须提出分析报告和解决方案，更换该产品，直到最后纠正缺陷、投标人提供质保从纠正之日起重新计算质保期。</w:t>
      </w:r>
      <w:r/>
    </w:p>
    <w:p>
      <w:pPr>
        <w:ind w:firstLine="482"/>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（6）如果是超出投标人的责任范围的疏忽、误操作等情况而导致的更换修正，应由投标人进行修理，其额外费用由双方协商承担。</w:t>
      </w:r>
      <w:r/>
    </w:p>
    <w:p>
      <w:pPr>
        <w:ind w:firstLine="482"/>
        <w:spacing w:line="360" w:lineRule="auto"/>
        <w:shd w:val="clear" w:color="auto"/>
        <w:rPr>
          <w:rFonts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8</w:t>
      </w:r>
      <w:r>
        <w:rPr>
          <w:rFonts w:hint="eastAsia" w:ascii="宋体" w:hAnsi="宋体" w:eastAsia="宋体" w:cs="宋体"/>
          <w:b/>
          <w:sz w:val="21"/>
          <w:szCs w:val="21"/>
          <w:highlight w:val="none"/>
        </w:rPr>
        <w:t xml:space="preserve">、验收</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（1）货物安装调试完成，由采购人提出验收申请按照货物验收相关规定，</w:t>
      </w: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招标文件、投标文件、合同等项目文件约定内容对项目进行验收。</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（2）如验收达不到规定要求，采购人有权要求更换货物或拒绝付款，中标单位若违约，采购人将依法追究相应法律责任。</w:t>
      </w:r>
      <w:r/>
    </w:p>
    <w:p>
      <w:pPr>
        <w:ind w:firstLine="48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（3）验收时间：验收期限在安装调试结束15天日内进行。特殊情况需延长的，双方应特别约定。</w:t>
      </w:r>
      <w:r/>
    </w:p>
    <w:p>
      <w:pPr>
        <w:ind w:firstLine="48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（4）验收方式：现场验收；</w:t>
      </w:r>
      <w:r/>
    </w:p>
    <w:p>
      <w:pPr>
        <w:ind w:firstLine="480"/>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中标单位提供的货物均符合国家相关条例要求，能保证所提供货物涉及到的知识产权是合法取得，并享有完整的知识产权，不会因为采购方的使用而被责令停止使用、追偿或要求赔偿损失，如出现此情况，一切经济和法律责任均由中标单位承担。中标单位提供的所有货物必须为正规合格产品，如出现质量问题或系假冒伪劣产品，中标单位负责包退、包换，承担由此产生的费用，且学校有权终止合同。</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6）验收内容：本项目交付完成后，由采购人组织终验，终验合格后出具验收合格证明，该证明作为最终付款所需文件的组成部分。验收不合格的，中标费应进行返工、调整或采取其他补救措施，直至采购人再次验收合格。因返工、调整等产生的一切费用，由中标单位自行承担；给采购人造成损失的，中标单位应赔偿一切直接、间接损失；</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7</w:t>
      </w:r>
      <w:r>
        <w:rPr>
          <w:rFonts w:hint="eastAsia" w:ascii="宋体" w:hAnsi="宋体" w:eastAsia="宋体" w:cs="宋体"/>
          <w:sz w:val="21"/>
          <w:szCs w:val="21"/>
          <w:highlight w:val="none"/>
        </w:rPr>
        <w:t xml:space="preserve">）验收标准：设备、系统的质量、规格、性能、数量、外观、随机备件备品、包装等符合项目要求，货物安装调试完成，且功能运行正常。</w:t>
      </w:r>
      <w:r/>
    </w:p>
    <w:p>
      <w:pPr>
        <w:ind w:firstLine="482"/>
        <w:spacing w:line="360" w:lineRule="auto"/>
        <w:shd w:val="clear" w:color="auto"/>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其他相关要求</w:t>
      </w:r>
      <w:r/>
    </w:p>
    <w:p>
      <w:pPr>
        <w:ind w:firstLine="480"/>
        <w:jc w:val="left"/>
        <w:spacing w:line="360" w:lineRule="auto"/>
        <w:shd w:val="clear" w:color="auto"/>
        <w:rPr>
          <w:rFonts w:ascii="宋体" w:hAnsi="宋体" w:eastAsia="宋体" w:cs="宋体"/>
          <w:sz w:val="21"/>
          <w:szCs w:val="21"/>
          <w:highlight w:val="none"/>
        </w:rPr>
      </w:pPr>
      <w:r>
        <w:rPr>
          <w:rFonts w:hint="eastAsia" w:ascii="宋体" w:hAnsi="宋体" w:eastAsia="宋体" w:cs="宋体"/>
          <w:sz w:val="21"/>
          <w:szCs w:val="21"/>
          <w:highlight w:val="none"/>
        </w:rPr>
        <w:t xml:space="preserve">1、投标人须具备独立完成本项目的能力，具有较强售后服务能力。投标人需了解项目情况及详细需求，但投标人不得因此使采购人承担有关的责任和蒙受损失。投标人中标后，不得以不了解项目情况及详细需求为理由而向采购人提出任何索赔的要求，对此采购人不再承担任何责任。</w:t>
      </w:r>
      <w:r/>
    </w:p>
    <w:p>
      <w:pPr>
        <w:ind w:firstLine="420"/>
        <w:spacing w:line="360" w:lineRule="auto"/>
        <w:shd w:val="clear" w:color="auto"/>
        <w:tabs>
          <w:tab w:val="left" w:pos="0" w:leader="none"/>
        </w:tabs>
        <w:rPr>
          <w:rFonts w:ascii="宋体" w:hAnsi="宋体" w:eastAsia="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投</w:t>
      </w:r>
      <w:r>
        <w:rPr>
          <w:rFonts w:hint="eastAsia" w:ascii="宋体" w:hAnsi="宋体" w:eastAsia="宋体" w:cs="微软雅黑"/>
          <w:color w:val="000000"/>
          <w:sz w:val="21"/>
          <w:szCs w:val="21"/>
          <w:highlight w:val="none"/>
        </w:rPr>
        <w:t xml:space="preserve">标单</w:t>
      </w:r>
      <w:r>
        <w:rPr>
          <w:rFonts w:hint="eastAsia" w:ascii="宋体" w:hAnsi="宋体" w:eastAsia="宋体" w:cs="MS Gothic"/>
          <w:color w:val="000000"/>
          <w:sz w:val="21"/>
          <w:szCs w:val="21"/>
          <w:highlight w:val="none"/>
        </w:rPr>
        <w:t xml:space="preserve">位</w:t>
      </w:r>
      <w:r>
        <w:rPr>
          <w:rFonts w:hint="eastAsia" w:ascii="宋体" w:hAnsi="宋体" w:eastAsia="宋体" w:cs="微软雅黑"/>
          <w:color w:val="000000"/>
          <w:sz w:val="21"/>
          <w:szCs w:val="21"/>
          <w:highlight w:val="none"/>
        </w:rPr>
        <w:t xml:space="preserve">须</w:t>
      </w:r>
      <w:r>
        <w:rPr>
          <w:rFonts w:hint="eastAsia" w:ascii="宋体" w:hAnsi="宋体" w:eastAsia="宋体" w:cs="MS Gothic"/>
          <w:color w:val="000000"/>
          <w:sz w:val="21"/>
          <w:szCs w:val="21"/>
          <w:highlight w:val="none"/>
        </w:rPr>
        <w:t xml:space="preserve">在招</w:t>
      </w:r>
      <w:r>
        <w:rPr>
          <w:rFonts w:hint="eastAsia" w:ascii="宋体" w:hAnsi="宋体" w:eastAsia="宋体" w:cs="微软雅黑"/>
          <w:color w:val="000000"/>
          <w:sz w:val="21"/>
          <w:szCs w:val="21"/>
          <w:highlight w:val="none"/>
        </w:rPr>
        <w:t xml:space="preserve">标</w:t>
      </w:r>
      <w:r>
        <w:rPr>
          <w:rFonts w:hint="eastAsia" w:ascii="宋体" w:hAnsi="宋体" w:eastAsia="宋体" w:cs="MS Gothic"/>
          <w:color w:val="000000"/>
          <w:sz w:val="21"/>
          <w:szCs w:val="21"/>
          <w:highlight w:val="none"/>
        </w:rPr>
        <w:t xml:space="preserve">文件中提出的全部技</w:t>
      </w:r>
      <w:r>
        <w:rPr>
          <w:rFonts w:hint="eastAsia" w:ascii="宋体" w:hAnsi="宋体" w:eastAsia="宋体" w:cs="微软雅黑"/>
          <w:color w:val="000000"/>
          <w:sz w:val="21"/>
          <w:szCs w:val="21"/>
          <w:highlight w:val="none"/>
        </w:rPr>
        <w:t xml:space="preserve">术规</w:t>
      </w:r>
      <w:r>
        <w:rPr>
          <w:rFonts w:hint="eastAsia" w:ascii="宋体" w:hAnsi="宋体" w:eastAsia="宋体" w:cs="MS Gothic"/>
          <w:color w:val="000000"/>
          <w:sz w:val="21"/>
          <w:szCs w:val="21"/>
          <w:highlight w:val="none"/>
        </w:rPr>
        <w:t xml:space="preserve">格与要求做出相</w:t>
      </w:r>
      <w:r>
        <w:rPr>
          <w:rFonts w:hint="eastAsia" w:ascii="宋体" w:hAnsi="宋体" w:eastAsia="宋体" w:cs="微软雅黑"/>
          <w:color w:val="000000"/>
          <w:sz w:val="21"/>
          <w:szCs w:val="21"/>
          <w:highlight w:val="none"/>
        </w:rPr>
        <w:t xml:space="preserve">应</w:t>
      </w:r>
      <w:r>
        <w:rPr>
          <w:rFonts w:hint="eastAsia" w:ascii="宋体" w:hAnsi="宋体" w:eastAsia="宋体" w:cs="MS Gothic"/>
          <w:color w:val="000000"/>
          <w:sz w:val="21"/>
          <w:szCs w:val="21"/>
          <w:highlight w:val="none"/>
        </w:rPr>
        <w:t xml:space="preserve">的承</w:t>
      </w:r>
      <w:r>
        <w:rPr>
          <w:rFonts w:hint="eastAsia" w:ascii="宋体" w:hAnsi="宋体" w:eastAsia="宋体" w:cs="微软雅黑"/>
          <w:color w:val="000000"/>
          <w:sz w:val="21"/>
          <w:szCs w:val="21"/>
          <w:highlight w:val="none"/>
        </w:rPr>
        <w:t xml:space="preserve">诺</w:t>
      </w:r>
      <w:r>
        <w:rPr>
          <w:rFonts w:hint="eastAsia" w:ascii="宋体" w:hAnsi="宋体" w:eastAsia="宋体" w:cs="MS Gothic"/>
          <w:color w:val="000000"/>
          <w:sz w:val="21"/>
          <w:szCs w:val="21"/>
          <w:highlight w:val="none"/>
        </w:rPr>
        <w:t xml:space="preserve">，</w:t>
      </w:r>
      <w:r>
        <w:rPr>
          <w:rFonts w:hint="eastAsia" w:ascii="宋体" w:hAnsi="宋体" w:eastAsia="宋体" w:cs="宋体"/>
          <w:bCs/>
          <w:color w:val="000000"/>
          <w:sz w:val="21"/>
          <w:szCs w:val="21"/>
          <w:highlight w:val="none"/>
        </w:rPr>
        <w:t xml:space="preserve">所投</w:t>
      </w:r>
      <w:r>
        <w:rPr>
          <w:rFonts w:hint="eastAsia" w:ascii="宋体" w:hAnsi="宋体" w:eastAsia="宋体" w:cs="微软雅黑"/>
          <w:bCs/>
          <w:color w:val="000000"/>
          <w:sz w:val="21"/>
          <w:szCs w:val="21"/>
          <w:highlight w:val="none"/>
        </w:rPr>
        <w:t xml:space="preserve">产</w:t>
      </w:r>
      <w:r>
        <w:rPr>
          <w:rFonts w:hint="eastAsia" w:ascii="宋体" w:hAnsi="宋体" w:eastAsia="宋体" w:cs="MS Gothic"/>
          <w:bCs/>
          <w:color w:val="000000"/>
          <w:sz w:val="21"/>
          <w:szCs w:val="21"/>
          <w:highlight w:val="none"/>
        </w:rPr>
        <w:t xml:space="preserve">品的技</w:t>
      </w:r>
      <w:r>
        <w:rPr>
          <w:rFonts w:hint="eastAsia" w:ascii="宋体" w:hAnsi="宋体" w:eastAsia="宋体" w:cs="微软雅黑"/>
          <w:bCs/>
          <w:color w:val="000000"/>
          <w:sz w:val="21"/>
          <w:szCs w:val="21"/>
          <w:highlight w:val="none"/>
        </w:rPr>
        <w:t xml:space="preserve">术</w:t>
      </w:r>
      <w:r>
        <w:rPr>
          <w:rFonts w:hint="eastAsia" w:ascii="宋体" w:hAnsi="宋体" w:eastAsia="宋体" w:cs="MS Gothic"/>
          <w:bCs/>
          <w:color w:val="000000"/>
          <w:sz w:val="21"/>
          <w:szCs w:val="21"/>
          <w:highlight w:val="none"/>
        </w:rPr>
        <w:t xml:space="preserve">参数</w:t>
      </w:r>
      <w:r>
        <w:rPr>
          <w:rFonts w:hint="eastAsia" w:ascii="宋体" w:hAnsi="宋体" w:eastAsia="宋体" w:cs="微软雅黑"/>
          <w:bCs/>
          <w:color w:val="000000"/>
          <w:sz w:val="21"/>
          <w:szCs w:val="21"/>
          <w:highlight w:val="none"/>
        </w:rPr>
        <w:t xml:space="preserve">须</w:t>
      </w:r>
      <w:r>
        <w:rPr>
          <w:rFonts w:hint="eastAsia" w:ascii="宋体" w:hAnsi="宋体" w:eastAsia="宋体" w:cs="MS Gothic"/>
          <w:bCs/>
          <w:color w:val="000000"/>
          <w:sz w:val="21"/>
          <w:szCs w:val="21"/>
          <w:highlight w:val="none"/>
        </w:rPr>
        <w:t xml:space="preserve">达到以上最低参数要求（</w:t>
      </w:r>
      <w:r>
        <w:rPr>
          <w:rFonts w:hint="eastAsia" w:ascii="宋体" w:hAnsi="宋体" w:eastAsia="宋体" w:cs="微软雅黑"/>
          <w:bCs/>
          <w:sz w:val="21"/>
          <w:szCs w:val="21"/>
          <w:highlight w:val="none"/>
        </w:rPr>
        <w:t xml:space="preserve">带</w:t>
      </w:r>
      <w:r>
        <w:rPr>
          <w:rFonts w:hint="eastAsia" w:ascii="宋体" w:hAnsi="宋体" w:eastAsia="宋体" w:cs="宋体"/>
          <w:sz w:val="21"/>
          <w:szCs w:val="21"/>
          <w:highlight w:val="none"/>
        </w:rPr>
        <w:t xml:space="preserve">★</w:t>
      </w:r>
      <w:r>
        <w:rPr>
          <w:rFonts w:hint="eastAsia" w:ascii="宋体" w:hAnsi="宋体" w:eastAsia="宋体" w:cs="微软雅黑"/>
          <w:bCs/>
          <w:sz w:val="21"/>
          <w:szCs w:val="21"/>
          <w:highlight w:val="none"/>
        </w:rPr>
        <w:t xml:space="preserve">项</w:t>
      </w:r>
      <w:r>
        <w:rPr>
          <w:rFonts w:hint="eastAsia" w:ascii="宋体" w:hAnsi="宋体" w:eastAsia="宋体" w:cs="宋体"/>
          <w:bCs/>
          <w:color w:val="000000"/>
          <w:sz w:val="21"/>
          <w:szCs w:val="21"/>
          <w:highlight w:val="none"/>
        </w:rPr>
        <w:t xml:space="preserve">除外），投</w:t>
      </w:r>
      <w:r>
        <w:rPr>
          <w:rFonts w:hint="eastAsia" w:ascii="宋体" w:hAnsi="宋体" w:eastAsia="宋体" w:cs="微软雅黑"/>
          <w:bCs/>
          <w:color w:val="000000"/>
          <w:sz w:val="21"/>
          <w:szCs w:val="21"/>
          <w:highlight w:val="none"/>
        </w:rPr>
        <w:t xml:space="preserve">标</w:t>
      </w:r>
      <w:r>
        <w:rPr>
          <w:rFonts w:hint="eastAsia" w:ascii="宋体" w:hAnsi="宋体" w:eastAsia="宋体" w:cs="MS Gothic"/>
          <w:bCs/>
          <w:color w:val="000000"/>
          <w:sz w:val="21"/>
          <w:szCs w:val="21"/>
          <w:highlight w:val="none"/>
        </w:rPr>
        <w:t xml:space="preserve">文件中提供</w:t>
      </w:r>
      <w:r>
        <w:rPr>
          <w:rFonts w:hint="eastAsia" w:ascii="宋体" w:hAnsi="宋体" w:eastAsia="宋体" w:cs="宋体"/>
          <w:bCs/>
          <w:color w:val="000000"/>
          <w:sz w:val="21"/>
          <w:szCs w:val="21"/>
          <w:highlight w:val="none"/>
          <w:lang w:val="zh-CN"/>
        </w:rPr>
        <w:t xml:space="preserve">投</w:t>
      </w:r>
      <w:r>
        <w:rPr>
          <w:rFonts w:hint="eastAsia" w:ascii="宋体" w:hAnsi="宋体" w:eastAsia="宋体" w:cs="微软雅黑"/>
          <w:bCs/>
          <w:color w:val="000000"/>
          <w:sz w:val="21"/>
          <w:szCs w:val="21"/>
          <w:highlight w:val="none"/>
          <w:lang w:val="zh-CN"/>
        </w:rPr>
        <w:t xml:space="preserve">标产</w:t>
      </w:r>
      <w:r>
        <w:rPr>
          <w:rFonts w:hint="eastAsia" w:ascii="宋体" w:hAnsi="宋体" w:eastAsia="宋体" w:cs="MS Gothic"/>
          <w:bCs/>
          <w:color w:val="000000"/>
          <w:sz w:val="21"/>
          <w:szCs w:val="21"/>
          <w:highlight w:val="none"/>
          <w:lang w:val="zh-CN"/>
        </w:rPr>
        <w:t xml:space="preserve">品技</w:t>
      </w:r>
      <w:r>
        <w:rPr>
          <w:rFonts w:hint="eastAsia" w:ascii="宋体" w:hAnsi="宋体" w:eastAsia="宋体" w:cs="微软雅黑"/>
          <w:bCs/>
          <w:color w:val="000000"/>
          <w:sz w:val="21"/>
          <w:szCs w:val="21"/>
          <w:highlight w:val="none"/>
          <w:lang w:val="zh-CN"/>
        </w:rPr>
        <w:t xml:space="preserve">术对</w:t>
      </w:r>
      <w:r>
        <w:rPr>
          <w:rFonts w:hint="eastAsia" w:ascii="宋体" w:hAnsi="宋体" w:eastAsia="宋体" w:cs="MS Gothic"/>
          <w:bCs/>
          <w:color w:val="000000"/>
          <w:sz w:val="21"/>
          <w:szCs w:val="21"/>
          <w:highlight w:val="none"/>
          <w:lang w:val="zh-CN"/>
        </w:rPr>
        <w:t xml:space="preserve">照表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否</w:t>
      </w:r>
      <w:r>
        <w:rPr>
          <w:rFonts w:hint="eastAsia" w:ascii="宋体" w:hAnsi="宋体" w:eastAsia="宋体" w:cs="微软雅黑"/>
          <w:bCs/>
          <w:color w:val="000000"/>
          <w:sz w:val="21"/>
          <w:szCs w:val="21"/>
          <w:highlight w:val="none"/>
        </w:rPr>
        <w:t xml:space="preserve">则视为</w:t>
      </w:r>
      <w:r>
        <w:rPr>
          <w:rFonts w:hint="eastAsia" w:ascii="宋体" w:hAnsi="宋体" w:eastAsia="宋体" w:cs="MS Gothic"/>
          <w:bCs/>
          <w:color w:val="000000"/>
          <w:sz w:val="21"/>
          <w:szCs w:val="21"/>
          <w:highlight w:val="none"/>
        </w:rPr>
        <w:t xml:space="preserve">无效</w:t>
      </w:r>
      <w:r>
        <w:rPr>
          <w:rFonts w:hint="eastAsia" w:ascii="宋体" w:hAnsi="宋体" w:eastAsia="宋体" w:cs="微软雅黑"/>
          <w:bCs/>
          <w:color w:val="000000"/>
          <w:sz w:val="21"/>
          <w:szCs w:val="21"/>
          <w:highlight w:val="none"/>
        </w:rPr>
        <w:t xml:space="preserve">标</w:t>
      </w:r>
      <w:r>
        <w:rPr>
          <w:rFonts w:hint="eastAsia" w:ascii="宋体" w:hAnsi="宋体" w:eastAsia="宋体" w:cs="宋体"/>
          <w:bCs/>
          <w:color w:val="000000"/>
          <w:sz w:val="21"/>
          <w:szCs w:val="21"/>
          <w:highlight w:val="none"/>
        </w:rPr>
        <w:t xml:space="preserve">。</w:t>
      </w:r>
      <w:r/>
    </w:p>
    <w:p>
      <w:pPr>
        <w:ind w:firstLine="480"/>
        <w:jc w:val="left"/>
        <w:spacing w:line="360" w:lineRule="auto"/>
        <w:shd w:val="clear" w:color="auto"/>
        <w:widowControl/>
        <w:rPr>
          <w:rFonts w:ascii="宋体" w:hAnsi="宋体" w:eastAsia="宋体" w:cs="宋体"/>
          <w:sz w:val="21"/>
          <w:szCs w:val="21"/>
          <w:highlight w:val="none"/>
        </w:rPr>
        <w:outlineLvl w:val="0"/>
      </w:pPr>
      <w:r>
        <w:rPr>
          <w:rFonts w:hint="eastAsia" w:ascii="宋体" w:hAnsi="宋体" w:eastAsia="宋体" w:cs="宋体"/>
          <w:sz w:val="21"/>
          <w:szCs w:val="21"/>
          <w:highlight w:val="none"/>
        </w:rPr>
        <w:t xml:space="preserve">3、投标人须对招标文件中提出的技术要求进行响应，如果其中某些条款不响应时，应在文件中逐条列出。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82"/>
        <w:jc w:val="left"/>
        <w:spacing w:line="360" w:lineRule="auto"/>
        <w:shd w:val="clear" w:color="auto"/>
        <w:widowControl/>
        <w:rPr>
          <w:rFonts w:ascii="宋体" w:hAnsi="宋体" w:eastAsia="宋体"/>
          <w:b/>
          <w:bCs/>
          <w:sz w:val="21"/>
          <w:szCs w:val="21"/>
          <w:highlight w:val="none"/>
        </w:rPr>
        <w:outlineLvl w:val="0"/>
      </w:pPr>
      <w:r>
        <w:rPr>
          <w:rFonts w:hint="eastAsia" w:ascii="宋体" w:hAnsi="宋体" w:eastAsia="宋体" w:cs="宋体"/>
          <w:b/>
          <w:sz w:val="21"/>
          <w:szCs w:val="21"/>
          <w:highlight w:val="none"/>
          <w:lang w:val="en-US" w:eastAsia="zh-CN"/>
        </w:rPr>
        <w:t xml:space="preserve">六</w:t>
      </w:r>
      <w:r>
        <w:rPr>
          <w:rFonts w:hint="eastAsia" w:ascii="宋体" w:hAnsi="宋体" w:eastAsia="宋体" w:cs="宋体"/>
          <w:b/>
          <w:sz w:val="21"/>
          <w:szCs w:val="21"/>
          <w:highlight w:val="none"/>
          <w:lang w:val="en-US" w:eastAsia="zh-CN"/>
        </w:rPr>
      </w:r>
      <w:r>
        <w:rPr>
          <w:rFonts w:hint="eastAsia" w:ascii="宋体" w:hAnsi="宋体" w:eastAsia="宋体" w:cs="宋体"/>
          <w:b/>
          <w:sz w:val="21"/>
          <w:szCs w:val="21"/>
          <w:highlight w:val="none"/>
        </w:rPr>
        <w:t xml:space="preserve">、</w:t>
      </w:r>
      <w:r>
        <w:rPr>
          <w:rFonts w:hint="eastAsia" w:ascii="宋体" w:hAnsi="宋体" w:eastAsia="宋体"/>
          <w:b/>
          <w:bCs/>
          <w:sz w:val="21"/>
          <w:szCs w:val="21"/>
          <w:highlight w:val="none"/>
          <w:lang w:val="en-US" w:eastAsia="zh-CN"/>
        </w:rPr>
        <w:t xml:space="preserve">综合说明</w:t>
      </w:r>
      <w:r>
        <w:rPr>
          <w:rFonts w:ascii="宋体" w:hAnsi="宋体" w:eastAsia="宋体"/>
          <w:b/>
          <w:bCs/>
          <w:sz w:val="21"/>
          <w:szCs w:val="21"/>
          <w:highlight w:val="none"/>
        </w:rPr>
        <w:t xml:space="preserve">：</w:t>
      </w:r>
      <w:r/>
    </w:p>
    <w:p>
      <w:pPr>
        <w:ind w:firstLine="480"/>
        <w:spacing w:line="360" w:lineRule="auto"/>
        <w:shd w:val="clear" w:color="auto"/>
        <w:widowControl/>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投标人按照招标文件的要求提交投标文件，并对所提供的全部资料的真实性承担法律责任。</w:t>
      </w:r>
      <w:r/>
    </w:p>
    <w:p>
      <w:pPr>
        <w:ind w:firstLine="480"/>
        <w:spacing w:line="360" w:lineRule="auto"/>
        <w:shd w:val="clear" w:color="auto"/>
        <w:rPr>
          <w:rFonts w:ascii="宋体" w:hAnsi="宋体" w:eastAsia="宋体" w:cs="宋体"/>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lang w:eastAsia="zh-CN"/>
        </w:rPr>
        <w:t xml:space="preserve">、</w:t>
      </w:r>
      <w:r>
        <w:rPr>
          <w:rFonts w:hint="eastAsia" w:ascii="宋体" w:hAnsi="宋体" w:eastAsia="宋体" w:cs="宋体"/>
          <w:sz w:val="21"/>
          <w:szCs w:val="21"/>
          <w:highlight w:val="none"/>
        </w:rPr>
        <w:t xml:space="preserve">本项目为交钥匙工程，投标总报价一次报定，包括投标人提供全部货物及其安装所需的辅材、备品、备件、专用工具、包装、运输、吊装、安装、基础的开挖、</w:t>
      </w:r>
      <w:r>
        <w:rPr>
          <w:rFonts w:hint="eastAsia" w:cs="宋体" w:asciiTheme="minorEastAsia" w:hAnsiTheme="minorEastAsia" w:eastAsiaTheme="minorEastAsia"/>
          <w:color w:val="000000"/>
          <w:sz w:val="21"/>
          <w:szCs w:val="21"/>
          <w:highlight w:val="none"/>
        </w:rPr>
        <w:t xml:space="preserve">土方回填</w:t>
      </w:r>
      <w:r>
        <w:rPr>
          <w:rFonts w:hint="eastAsia" w:ascii="宋体" w:hAnsi="宋体" w:eastAsia="宋体" w:cs="宋体"/>
          <w:sz w:val="21"/>
          <w:szCs w:val="21"/>
          <w:highlight w:val="none"/>
        </w:rPr>
        <w:t xml:space="preserve">及绿化修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除非合同条款中另有规定，否则供应商所报价格在合同实施期间不因市场变化因素而变动。</w:t>
      </w:r>
      <w:r/>
    </w:p>
    <w:p>
      <w:pPr>
        <w:ind w:firstLine="480"/>
        <w:spacing w:line="360" w:lineRule="auto"/>
        <w:shd w:val="clear" w:color="auto"/>
        <w:widowControl/>
        <w:rPr>
          <w:rFonts w:ascii="宋体" w:hAnsi="宋体" w:eastAsia="宋体"/>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中标单位将根据招标文件、投标文件的相关约定，承担合同责任，履行合同义务。</w:t>
      </w:r>
      <w:r/>
    </w:p>
    <w:p>
      <w:pPr>
        <w:ind w:firstLine="480"/>
        <w:spacing w:line="360" w:lineRule="auto"/>
        <w:shd w:val="clear" w:color="auto"/>
        <w:widowControl/>
        <w:rPr>
          <w:rFonts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shd w:val="clear" w:color="auto"/>
        <w:tabs>
          <w:tab w:val="left" w:pos="3600" w:leader="none"/>
        </w:tabs>
        <w:rPr>
          <w:rFonts w:hint="eastAsia" w:asciiTheme="minorEastAsia" w:hAnsiTheme="minorEastAsia" w:eastAsiaTheme="minorEastAsia" w:cstheme="minorEastAsia"/>
          <w:b/>
          <w:color w:val="auto"/>
          <w:sz w:val="21"/>
          <w:szCs w:val="22"/>
          <w:highlight w:val="none"/>
        </w:rPr>
      </w:pPr>
      <w:r>
        <w:rPr>
          <w:rFonts w:hint="eastAsia" w:asciiTheme="minorEastAsia" w:hAnsiTheme="minorEastAsia" w:eastAsiaTheme="minorEastAsia" w:cstheme="minorEastAsia"/>
          <w:b/>
          <w:color w:val="auto"/>
          <w:sz w:val="21"/>
          <w:szCs w:val="22"/>
          <w:highlight w:val="none"/>
          <w:lang w:val="en-US" w:eastAsia="zh-CN"/>
        </w:rPr>
        <w:t xml:space="preserve">七</w:t>
      </w:r>
      <w:r>
        <w:rPr>
          <w:rFonts w:hint="eastAsia" w:asciiTheme="minorEastAsia" w:hAnsiTheme="minorEastAsia" w:eastAsiaTheme="minorEastAsia" w:cstheme="minorEastAsia"/>
          <w:b/>
          <w:color w:val="auto"/>
          <w:sz w:val="21"/>
          <w:szCs w:val="22"/>
          <w:highlight w:val="none"/>
          <w:lang w:val="en-US" w:eastAsia="zh-CN"/>
        </w:rPr>
      </w:r>
      <w:r>
        <w:rPr>
          <w:rFonts w:hint="eastAsia" w:asciiTheme="minorEastAsia" w:hAnsiTheme="minorEastAsia" w:eastAsiaTheme="minorEastAsia" w:cstheme="minorEastAsia"/>
          <w:b/>
          <w:color w:val="auto"/>
          <w:sz w:val="21"/>
          <w:szCs w:val="22"/>
          <w:highlight w:val="none"/>
        </w:rPr>
        <w:t xml:space="preserve">、政府采购政策</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1、针对中小型企业、残疾人福利性单位和监狱企业的评审加分：</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1.1根据《政府采购促进中小</w:t>
      </w:r>
      <w:r>
        <w:rPr>
          <w:rFonts w:hint="eastAsia" w:asciiTheme="minorEastAsia" w:hAnsiTheme="minorEastAsia" w:eastAsiaTheme="minorEastAsia" w:cstheme="minorEastAsia"/>
          <w:color w:val="auto"/>
          <w:sz w:val="21"/>
          <w:szCs w:val="24"/>
          <w:highlight w:val="none"/>
        </w:rPr>
        <w:t xml:space="preserve">企业发展办法》、《关于促进残疾人就业政府采购政策的通知》（财库〔2017〕141号）、《关于政府采购支持监狱企业发展有关问题的通知》（财库〔2014〕68号）等文件规定，在政府采购项目中，在服务采购项目中，服务由小型或微型企业承接，即提供服务的人员为小型或微型企业依照《中华人民共和国民法典》订立劳动合同的从业人员，其报价给予20%的扣除，用扣除后的价格参与价格评审。如扣除后的价格为最低价的，则作为评审基准价，若最后中标，中标价格则以实际投标报价为准。残疾人企业或监狱企业属于小型、微型企业的，不重复享受政策。</w:t>
      </w:r>
      <w:r/>
    </w:p>
    <w:p>
      <w:pPr>
        <w:ind w:firstLine="422"/>
        <w:spacing w:line="360" w:lineRule="auto"/>
        <w:shd w:val="clear" w:color="auto"/>
        <w:tabs>
          <w:tab w:val="left" w:pos="3600" w:leader="none"/>
        </w:tabs>
        <w:rPr>
          <w:rFonts w:hint="eastAsia" w:asciiTheme="minorEastAsia" w:hAnsiTheme="minorEastAsia" w:eastAsiaTheme="minorEastAsia" w:cstheme="minorEastAsia"/>
          <w:b/>
          <w:color w:val="auto"/>
          <w:sz w:val="21"/>
          <w:szCs w:val="24"/>
          <w:highlight w:val="none"/>
        </w:rPr>
      </w:pPr>
      <w:r>
        <w:rPr>
          <w:rFonts w:hint="eastAsia" w:asciiTheme="minorEastAsia" w:hAnsiTheme="minorEastAsia" w:eastAsiaTheme="minorEastAsia" w:cstheme="minorEastAsia"/>
          <w:b/>
          <w:color w:val="auto"/>
          <w:sz w:val="21"/>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cstheme="minorEastAsia"/>
          <w:b/>
          <w:color w:val="auto"/>
          <w:sz w:val="21"/>
          <w:szCs w:val="24"/>
          <w:highlight w:val="none"/>
          <w:lang w:val="en-US" w:eastAsia="zh-CN"/>
        </w:rPr>
        <w:t xml:space="preserve">工业</w:t>
      </w:r>
      <w:r>
        <w:rPr>
          <w:rFonts w:hint="eastAsia" w:asciiTheme="minorEastAsia" w:hAnsiTheme="minorEastAsia" w:eastAsiaTheme="minorEastAsia" w:cstheme="minorEastAsia"/>
          <w:b/>
          <w:color w:val="auto"/>
          <w:sz w:val="21"/>
          <w:szCs w:val="24"/>
          <w:highlight w:val="none"/>
        </w:rPr>
        <w:t xml:space="preserve">。</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szCs w:val="24"/>
          <w:highlight w:val="none"/>
        </w:rPr>
      </w:pPr>
      <w:r>
        <w:rPr>
          <w:rFonts w:hint="eastAsia" w:asciiTheme="minorEastAsia" w:hAnsiTheme="minorEastAsia" w:eastAsiaTheme="minorEastAsia" w:cstheme="minorEastAsia"/>
          <w:color w:val="auto"/>
          <w:sz w:val="21"/>
          <w:szCs w:val="24"/>
          <w:highlight w:val="none"/>
        </w:rPr>
        <w:t xml:space="preserve">1.2中型、小型或微型企业需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2、关于对参与供应商信用记录的政府采购要求：</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2.1采购代理机构会在接收投标文件截止时间后，在苏州市政府采购网查询信用记录，并将查询结果递交评审小组。</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2.2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A、政府采购严重违法记录，即供应商被全国各级财政部门列入“政府采购严重违法失信行为记录名单”，且在处罚有效期内的。</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B、财政部门与法院、工商、税务等部门联合惩戒的失信信息，包括：</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1） 被列入失信被执行人名单；</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2） 被列入重大税收违法案件当事人名单；</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3） 企业经营异常名录中被责令停产停业、暂扣或者吊销许可证或者执照，或者对经营活动中的违法行为处以2</w:t>
      </w:r>
      <w:r>
        <w:rPr>
          <w:rFonts w:hint="eastAsia" w:asciiTheme="minorEastAsia" w:hAnsiTheme="minorEastAsia" w:eastAsiaTheme="minorEastAsia" w:cstheme="minorEastAsia"/>
          <w:color w:val="auto"/>
          <w:sz w:val="21"/>
          <w:highlight w:val="none"/>
          <w:lang w:val="en-US" w:eastAsia="zh-CN"/>
        </w:rPr>
        <w:t xml:space="preserve">00</w:t>
      </w:r>
      <w:r>
        <w:rPr>
          <w:rFonts w:hint="eastAsia" w:asciiTheme="minorEastAsia" w:hAnsiTheme="minorEastAsia" w:eastAsiaTheme="minorEastAsia" w:cstheme="minorEastAsia"/>
          <w:color w:val="auto"/>
          <w:sz w:val="21"/>
          <w:highlight w:val="none"/>
        </w:rPr>
        <w:t xml:space="preserve">万元以上数额罚款的信用记录。处罚生效日至递交（响应）文件日未满三年的。</w:t>
      </w:r>
      <w:r/>
    </w:p>
    <w:p>
      <w:pPr>
        <w:ind w:firstLine="420"/>
        <w:spacing w:line="360" w:lineRule="auto"/>
        <w:shd w:val="clear" w:color="auto"/>
        <w:tabs>
          <w:tab w:val="left" w:pos="3600" w:leader="none"/>
        </w:tabs>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2.3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pStyle w:val="740"/>
        <w:ind w:firstLine="422"/>
        <w:shd w:val="clear" w:color="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八</w:t>
      </w:r>
      <w:r>
        <w:rPr>
          <w:rFonts w:hint="eastAsia" w:asciiTheme="minorEastAsia" w:hAnsiTheme="minorEastAsia" w:eastAsiaTheme="minorEastAsia" w:cstheme="minorEastAsia"/>
          <w:b/>
          <w:color w:val="auto"/>
          <w:sz w:val="21"/>
          <w:szCs w:val="21"/>
          <w:highlight w:val="none"/>
          <w:lang w:val="en-US" w:eastAsia="zh-CN"/>
        </w:rPr>
      </w:r>
      <w:r>
        <w:rPr>
          <w:rFonts w:hint="eastAsia" w:asciiTheme="minorEastAsia" w:hAnsiTheme="minorEastAsia" w:eastAsiaTheme="minorEastAsia" w:cstheme="minorEastAsia"/>
          <w:b/>
          <w:color w:val="auto"/>
          <w:sz w:val="21"/>
          <w:szCs w:val="21"/>
          <w:highlight w:val="none"/>
        </w:rPr>
        <w:t xml:space="preserve">、凡涉及招标文件的补充说明和修改，均以苏州市政府采购网等发布的最新信息为准。</w:t>
      </w:r>
      <w:r/>
    </w:p>
    <w:p>
      <w:pPr>
        <w:shd w:val="nil"/>
        <w:rPr>
          <w:rFonts w:hint="eastAsia" w:asciiTheme="minorEastAsia" w:hAnsiTheme="minorEastAsia" w:eastAsiaTheme="minorEastAsia" w:cstheme="minorEastAsia"/>
          <w:b/>
          <w:bCs/>
          <w:color w:val="auto"/>
          <w:sz w:val="44"/>
          <w:szCs w:val="44"/>
          <w:highlight w:val="none"/>
        </w:rPr>
        <w:outlineLvl w:val="0"/>
      </w:pPr>
      <w:r>
        <w:rPr>
          <w:highlight w:val="none"/>
        </w:rPr>
        <w:br w:type="page" w:clear="all"/>
      </w:r>
      <w:r>
        <w:rPr>
          <w:highlight w:val="none"/>
        </w:rPr>
      </w:r>
    </w:p>
    <w:p>
      <w:pPr>
        <w:jc w:val="center"/>
        <w:spacing w:line="360" w:lineRule="auto"/>
        <w:shd w:val="clear" w:color="auto"/>
        <w:rPr>
          <w:rFonts w:asciiTheme="minorEastAsia" w:hAnsiTheme="minorEastAsia" w:eastAsiaTheme="minorEastAsia" w:cstheme="minorEastAsia"/>
          <w:highlight w:val="none"/>
        </w:rPr>
        <w:outlineLvl w:val="0"/>
      </w:pPr>
      <w:r>
        <w:rPr>
          <w:rFonts w:hint="eastAsia" w:asciiTheme="minorEastAsia" w:hAnsiTheme="minorEastAsia" w:eastAsiaTheme="minorEastAsia" w:cstheme="minorEastAsia"/>
          <w:b/>
          <w:color w:val="auto"/>
          <w:sz w:val="32"/>
          <w:szCs w:val="32"/>
          <w:highlight w:val="none"/>
        </w:rPr>
        <w:t xml:space="preserve">第五章 合同主要条款</w:t>
      </w:r>
      <w:bookmarkEnd w:id="55"/>
      <w:r/>
      <w:bookmarkEnd w:id="56"/>
      <w:r/>
      <w:r/>
    </w:p>
    <w:p>
      <w:pPr>
        <w:ind w:right="960" w:firstLine="6480"/>
        <w:spacing w:line="360" w:lineRule="auto"/>
        <w:widowControl/>
        <w:rPr>
          <w:rFonts w:asciiTheme="minorEastAsia" w:hAnsiTheme="minorEastAsia" w:eastAsiaTheme="minorEastAsia"/>
          <w:sz w:val="21"/>
          <w:szCs w:val="21"/>
        </w:rPr>
      </w:pPr>
      <w:r/>
      <w:bookmarkStart w:id="58" w:name="_Toc35951276"/>
      <w:r>
        <w:rPr>
          <w:rFonts w:asciiTheme="minorEastAsia" w:hAnsiTheme="minorEastAsia" w:eastAsiaTheme="minorEastAsia"/>
          <w:sz w:val="21"/>
          <w:szCs w:val="21"/>
        </w:rPr>
        <w:t xml:space="preserve">合同编号：</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甲方（采购方）：</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联系人：</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地址：</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电话：</w:t>
      </w:r>
      <w:r/>
    </w:p>
    <w:p>
      <w:pPr>
        <w:ind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乙方（供应商）：</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联系人：</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地址：</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电话：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2"/>
        <w:spacing w:line="360" w:lineRule="auto"/>
        <w:rPr>
          <w:rFonts w:ascii="宋体" w:hAnsi="宋体" w:eastAsia="宋体"/>
          <w:sz w:val="21"/>
          <w:szCs w:val="21"/>
          <w:u w:val="single"/>
        </w:rPr>
      </w:pPr>
      <w:r>
        <w:rPr>
          <w:rFonts w:hint="eastAsia" w:ascii="宋体" w:hAnsi="宋体" w:eastAsia="宋体"/>
          <w:b/>
          <w:sz w:val="21"/>
          <w:szCs w:val="21"/>
        </w:rPr>
        <w:t xml:space="preserve">一、定义：以下术语有特定的含义：</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合同价是指根据中标的投标文件和合同规定，乙方在正确地履行合同义务后甲方应支付给乙方的价款。</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甲方是指合同中明确规定的实际购买货物和接受服务的单位。</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乙方是指合同中规定的提供货物和提供服务的单位。</w:t>
      </w:r>
      <w:r/>
    </w:p>
    <w:p>
      <w:pPr>
        <w:ind w:firstLine="420"/>
        <w:spacing w:line="360" w:lineRule="auto"/>
        <w:rPr>
          <w:rFonts w:ascii="宋体" w:hAnsi="宋体" w:eastAsia="宋体"/>
          <w:b/>
          <w:sz w:val="21"/>
          <w:szCs w:val="21"/>
        </w:rPr>
      </w:pPr>
      <w:r>
        <w:rPr>
          <w:rFonts w:hint="eastAsia" w:ascii="宋体" w:hAnsi="宋体" w:eastAsia="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宋体" w:hAnsi="宋体" w:eastAsia="宋体"/>
          <w:b/>
          <w:sz w:val="21"/>
          <w:szCs w:val="21"/>
          <w:u w:val="single"/>
        </w:rPr>
      </w:pPr>
      <w:r>
        <w:rPr>
          <w:rFonts w:hint="eastAsia" w:ascii="宋体" w:hAnsi="宋体" w:eastAsia="宋体"/>
          <w:b/>
          <w:sz w:val="21"/>
          <w:szCs w:val="21"/>
        </w:rPr>
        <w:t xml:space="preserve">二、合同标的：</w:t>
      </w:r>
      <w:r/>
    </w:p>
    <w:tbl>
      <w:tblPr>
        <w:tblStyle w:val="736"/>
        <w:tblW w:w="9854"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W w:w="2693"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货物（服务）名称</w:t>
            </w:r>
            <w:r/>
          </w:p>
        </w:tc>
        <w:tc>
          <w:tcPr>
            <w:tcW w:w="1529"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品牌（厂家）</w:t>
            </w:r>
            <w:r/>
          </w:p>
        </w:tc>
        <w:tc>
          <w:tcPr>
            <w:tcW w:w="1642"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数量</w:t>
            </w:r>
            <w:r/>
          </w:p>
        </w:tc>
        <w:tc>
          <w:tcPr>
            <w:tcW w:w="1643"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交货期限</w:t>
            </w:r>
            <w:r/>
          </w:p>
        </w:tc>
        <w:tc>
          <w:tcPr>
            <w:tcW w:w="1643"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小计金额(元)</w:t>
            </w:r>
            <w:r/>
          </w:p>
        </w:tc>
      </w:tr>
      <w:tr>
        <w:trPr/>
        <w:tc>
          <w:tcPr>
            <w:tcW w:w="704"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1</w:t>
            </w:r>
            <w:r/>
          </w:p>
        </w:tc>
        <w:tc>
          <w:tcPr>
            <w:tcW w:w="2693"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529"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642"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643"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643"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r>
      <w:tr>
        <w:trPr/>
        <w:tc>
          <w:tcPr>
            <w:tcW w:w="704"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2</w:t>
            </w:r>
            <w:r/>
          </w:p>
        </w:tc>
        <w:tc>
          <w:tcPr>
            <w:tcW w:w="2693"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529"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642"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643"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643"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r>
      <w:tr>
        <w:trPr/>
        <w:tc>
          <w:tcPr>
            <w:tcW w:w="704"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3</w:t>
            </w:r>
            <w:r/>
          </w:p>
        </w:tc>
        <w:tc>
          <w:tcPr>
            <w:tcW w:w="2693"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529"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642"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643"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643"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r>
      <w:tr>
        <w:trPr/>
        <w:tc>
          <w:tcPr>
            <w:tcW w:w="704"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t xml:space="preserve">…</w:t>
            </w:r>
            <w:r/>
          </w:p>
        </w:tc>
        <w:tc>
          <w:tcPr>
            <w:tcW w:w="2693"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529"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642"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643"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c>
          <w:tcPr>
            <w:tcW w:w="1643" w:type="dxa"/>
            <w:textDirection w:val="lrTb"/>
            <w:noWrap w:val="false"/>
          </w:tcPr>
          <w:p>
            <w:pPr>
              <w:jc w:val="left"/>
              <w:spacing w:line="360" w:lineRule="auto"/>
              <w:rPr>
                <w:rFonts w:ascii="宋体" w:hAnsi="宋体" w:eastAsia="宋体"/>
                <w:sz w:val="21"/>
                <w:szCs w:val="21"/>
              </w:rPr>
            </w:pPr>
            <w:r>
              <w:rPr>
                <w:rFonts w:ascii="宋体" w:hAnsi="宋体" w:eastAsia="宋体"/>
                <w:sz w:val="21"/>
                <w:szCs w:val="21"/>
              </w:rPr>
            </w:r>
            <w:r/>
          </w:p>
        </w:tc>
      </w:tr>
    </w:tbl>
    <w:p>
      <w:pPr>
        <w:jc w:val="left"/>
        <w:spacing w:line="360" w:lineRule="auto"/>
        <w:rPr>
          <w:rFonts w:ascii="宋体" w:hAnsi="宋体" w:eastAsia="宋体"/>
          <w:sz w:val="21"/>
          <w:szCs w:val="21"/>
        </w:rPr>
      </w:pPr>
      <w:r>
        <w:rPr>
          <w:rFonts w:ascii="宋体" w:hAnsi="宋体" w:eastAsia="宋体"/>
          <w:sz w:val="21"/>
          <w:szCs w:val="21"/>
        </w:rPr>
      </w:r>
      <w:r/>
    </w:p>
    <w:p>
      <w:pPr>
        <w:ind w:firstLine="422"/>
        <w:spacing w:line="360" w:lineRule="auto"/>
        <w:rPr>
          <w:rFonts w:ascii="宋体" w:hAnsi="宋体" w:eastAsia="宋体"/>
          <w:sz w:val="21"/>
          <w:szCs w:val="21"/>
        </w:rPr>
      </w:pPr>
      <w:r>
        <w:rPr>
          <w:rFonts w:hint="eastAsia" w:ascii="宋体" w:hAnsi="宋体" w:eastAsia="宋体"/>
          <w:b/>
          <w:sz w:val="21"/>
          <w:szCs w:val="21"/>
        </w:rPr>
        <w:t xml:space="preserve">三、合同总价款：</w:t>
      </w:r>
      <w:r>
        <w:rPr>
          <w:rFonts w:hint="eastAsia" w:ascii="宋体" w:hAnsi="宋体" w:eastAsia="宋体"/>
          <w:sz w:val="21"/>
          <w:szCs w:val="21"/>
        </w:rPr>
        <w:t xml:space="preserve">大写人民币</w:t>
      </w:r>
      <w:r>
        <w:rPr>
          <w:rFonts w:hint="eastAsia" w:ascii="宋体" w:hAnsi="宋体" w:eastAsia="宋体"/>
          <w:sz w:val="21"/>
          <w:szCs w:val="21"/>
          <w:u w:val="single"/>
        </w:rPr>
        <w:t xml:space="preserve">     </w:t>
      </w:r>
      <w:r>
        <w:rPr>
          <w:rFonts w:hint="eastAsia" w:ascii="宋体" w:hAnsi="宋体" w:eastAsia="宋体"/>
          <w:sz w:val="21"/>
          <w:szCs w:val="21"/>
        </w:rPr>
        <w:t xml:space="preserve">元，小写￥</w:t>
      </w:r>
      <w:r>
        <w:rPr>
          <w:rFonts w:hint="eastAsia" w:ascii="宋体" w:hAnsi="宋体" w:eastAsia="宋体"/>
          <w:sz w:val="21"/>
          <w:szCs w:val="21"/>
          <w:u w:val="single"/>
        </w:rPr>
        <w:t xml:space="preserve">     </w:t>
      </w:r>
      <w:r>
        <w:rPr>
          <w:rFonts w:hint="eastAsia" w:ascii="宋体" w:hAnsi="宋体" w:eastAsia="宋体"/>
          <w:sz w:val="21"/>
          <w:szCs w:val="21"/>
        </w:rPr>
        <w:t xml:space="preserve">元。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合同总价款范围：合同总价应</w:t>
      </w:r>
      <w:bookmarkStart w:id="59" w:name="OLE_LINK13"/>
      <w:r/>
      <w:bookmarkStart w:id="60" w:name="OLE_LINK12"/>
      <w:r>
        <w:rPr>
          <w:rFonts w:hint="eastAsia" w:ascii="宋体" w:hAnsi="宋体" w:eastAsia="宋体"/>
          <w:sz w:val="21"/>
          <w:szCs w:val="21"/>
        </w:rPr>
        <w:t xml:space="preserve">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bookmarkEnd w:id="59"/>
      <w:r/>
      <w:bookmarkEnd w:id="60"/>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对于甲方在采购文件中所要求的及乙方在投标文件和合同中所承诺提供的功能，乙方应无条件提供，由于设计及其他原因所造成的额外费用由乙方自行承担。</w:t>
      </w:r>
      <w:r/>
    </w:p>
    <w:p>
      <w:pPr>
        <w:ind w:firstLine="422"/>
        <w:spacing w:line="360" w:lineRule="auto"/>
        <w:rPr>
          <w:rFonts w:ascii="宋体" w:hAnsi="宋体" w:eastAsia="宋体"/>
          <w:sz w:val="21"/>
          <w:szCs w:val="21"/>
        </w:rPr>
      </w:pPr>
      <w:r>
        <w:rPr>
          <w:rFonts w:hint="eastAsia" w:ascii="宋体" w:hAnsi="宋体" w:eastAsia="宋体"/>
          <w:b/>
          <w:sz w:val="21"/>
          <w:szCs w:val="21"/>
        </w:rPr>
        <w:t xml:space="preserve">四、交货地点、时间、方式：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1.交货地点：</w:t>
      </w:r>
      <w:r>
        <w:rPr>
          <w:rFonts w:hint="eastAsia" w:cs="宋体" w:asciiTheme="minorEastAsia" w:hAnsiTheme="minorEastAsia" w:eastAsiaTheme="minorEastAsia"/>
          <w:sz w:val="21"/>
          <w:szCs w:val="21"/>
        </w:rPr>
        <w:t xml:space="preserve">乙方交货至甲方指定地点，所发生的运输等费用及货物的损坏造成的损失由乙方承担</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2.交货时间：</w:t>
      </w:r>
      <w:r>
        <w:rPr>
          <w:rFonts w:hint="eastAsia" w:cs="宋体" w:asciiTheme="minorEastAsia" w:hAnsiTheme="minorEastAsia" w:eastAsiaTheme="minorEastAsia"/>
          <w:sz w:val="21"/>
          <w:szCs w:val="21"/>
          <w:lang w:val="en-US" w:eastAsia="zh-CN"/>
        </w:rPr>
        <w:t xml:space="preserve">详见招标文件</w:t>
      </w:r>
      <w:r>
        <w:rPr>
          <w:rFonts w:hint="eastAsia" w:ascii="宋体" w:hAnsi="宋体" w:eastAsia="宋体"/>
          <w:sz w:val="21"/>
          <w:szCs w:val="21"/>
        </w:rPr>
        <w:t xml:space="preserve">。</w:t>
      </w:r>
      <w:r>
        <w:rPr>
          <w:rFonts w:ascii="宋体" w:hAnsi="宋体" w:eastAsia="宋体"/>
          <w:sz w:val="21"/>
          <w:szCs w:val="21"/>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3.交货方式：</w:t>
      </w:r>
      <w:r>
        <w:rPr>
          <w:rFonts w:hint="eastAsia" w:cs="宋体" w:asciiTheme="minorEastAsia" w:hAnsiTheme="minorEastAsia" w:eastAsiaTheme="minorEastAsia"/>
          <w:sz w:val="21"/>
          <w:szCs w:val="21"/>
        </w:rPr>
        <w:t xml:space="preserve">乙方负责将货物安全完好运抵交货地点、安装调试并保证验收合格</w:t>
      </w:r>
      <w:r>
        <w:rPr>
          <w:rFonts w:hint="eastAsia" w:ascii="宋体" w:hAnsi="宋体" w:eastAsia="宋体"/>
          <w:sz w:val="21"/>
          <w:szCs w:val="21"/>
        </w:rPr>
        <w:t xml:space="preserve">。</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五、付款方式：</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付款步骤：签订合同后，货物到场经验收合格后付至合同价的50%；安装调试完工后并完成移交手续付至合同价的70%；</w:t>
      </w:r>
      <w:r>
        <w:rPr>
          <w:rFonts w:hint="eastAsia" w:ascii="宋体" w:hAnsi="宋体" w:eastAsia="宋体"/>
          <w:sz w:val="21"/>
          <w:szCs w:val="21"/>
          <w:highlight w:val="none"/>
          <w:lang w:val="en-US" w:eastAsia="zh-CN"/>
        </w:rPr>
        <w:t xml:space="preserve">项目审计</w:t>
      </w:r>
      <w:r>
        <w:rPr>
          <w:rFonts w:hint="eastAsia" w:ascii="宋体" w:hAnsi="宋体" w:eastAsia="宋体"/>
          <w:sz w:val="21"/>
          <w:szCs w:val="21"/>
          <w:highlight w:val="none"/>
        </w:rPr>
        <w:t xml:space="preserve">后付至</w:t>
      </w:r>
      <w:r>
        <w:rPr>
          <w:rFonts w:hint="eastAsia" w:ascii="宋体" w:hAnsi="宋体" w:eastAsia="宋体"/>
          <w:sz w:val="21"/>
          <w:szCs w:val="21"/>
          <w:highlight w:val="none"/>
          <w:lang w:val="en-US" w:eastAsia="zh-CN"/>
        </w:rPr>
        <w:t xml:space="preserve">审定金额的</w:t>
      </w:r>
      <w:r>
        <w:rPr>
          <w:rFonts w:hint="eastAsia" w:ascii="宋体" w:hAnsi="宋体" w:eastAsia="宋体"/>
          <w:sz w:val="21"/>
          <w:szCs w:val="21"/>
          <w:highlight w:val="none"/>
        </w:rPr>
        <w:t xml:space="preserve">80%；余款待项目完成后2年内付清。</w:t>
      </w:r>
      <w:r/>
    </w:p>
    <w:p>
      <w:pPr>
        <w:ind w:firstLine="420"/>
        <w:spacing w:line="360" w:lineRule="auto"/>
        <w:rPr>
          <w:rFonts w:ascii="宋体" w:hAnsi="宋体" w:eastAsia="宋体"/>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 支付方式：</w:t>
      </w:r>
      <w:r>
        <w:rPr>
          <w:rFonts w:hint="eastAsia" w:ascii="宋体" w:hAnsi="宋体" w:eastAsia="宋体"/>
          <w:sz w:val="21"/>
          <w:szCs w:val="21"/>
        </w:rPr>
        <w:t xml:space="preserve">银行汇票或转账支票。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3.乙方账户信息如下：</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开户名称：</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开户银行：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银行账号：</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六、验收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1.乙方提交的货物由甲方负责验收。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七、保修期：</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本项目经甲方验收合格后，乙方将提供</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年质量保证期。质量保证期内，乙方负责对其提供的货物实行免费维修。</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八、伴随服务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1.乙方应提供所交付货物的全套技术文件资料，包括产品目录、软件备份、图纸、操作手册、使用说明、维护手册和服务指南等。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3.上述伴随服务的费用应包含在合同价中，不单独进行支付。</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4.货物的包装、储运、安装按国家有关规定执行。</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九、质量保证</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十、索赔</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1.甲方有权根据当地国家技术监督局、进出口商品检验局或其他具有法定资格的质检机构出具的检验证书向乙方提出索赔。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2.如果乙方对缺陷负有责任而甲方提出索赔，乙方应按照甲方同意的下列一种或多种方式解决索赔事宜：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（2）根据货物低劣、损坏程度以及甲方所遭受损失的金额，经双方商定降低货物的价格。</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十一、履约延误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1.乙方应按照合同规定的时间、地点交货和提供服务；甲方应按照合同规定的时间、地点接收货物和接受服务。</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2.如果乙方无正当理由拖延交货，将受到以下制裁：加收误期赔偿费、终止合同；如果甲方无正当理由拖延接收货物和接受服务，应承担相应责任。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十二、误期赔偿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2.误期赔偿费可从应付货款中扣除。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3.收取误期赔偿费不影响甲方采取合同规定的其他补救措施的权利。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十三、不可抗力</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十四、争端的解决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2.如果调解不成，双方中的任何一方可向人民法院提起诉讼。诉讼由合同签订地人民法院管辖。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3.诉讼费由败诉方负担。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4.因合同部分履行引发诉讼的，在诉讼期间，除正在进行诉讼的部分外，本合同的其它部分应继续执行。 </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十五、违约终止合同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1.在甲方因乙方违约而按合同约定采取的任何补救措施不受影响的情况下，甲方可在下列情况下向乙方发出书面通知，提出终止部分或全部合同。 </w:t>
      </w:r>
      <w:r/>
    </w:p>
    <w:p>
      <w:pPr>
        <w:ind w:firstLine="200"/>
        <w:spacing w:line="360" w:lineRule="auto"/>
        <w:rPr>
          <w:rFonts w:ascii="宋体" w:hAnsi="宋体" w:eastAsia="宋体"/>
          <w:sz w:val="21"/>
          <w:szCs w:val="21"/>
        </w:rPr>
      </w:pPr>
      <w:r>
        <w:rPr>
          <w:rFonts w:hint="eastAsia" w:ascii="宋体" w:hAnsi="宋体" w:eastAsia="宋体"/>
          <w:sz w:val="21"/>
          <w:szCs w:val="21"/>
        </w:rPr>
        <w:t xml:space="preserve">（1）如果乙方未能在合同规定的限期或甲方同意延长的限期内提供部分或全部货物和服务。</w:t>
      </w:r>
      <w:r/>
    </w:p>
    <w:p>
      <w:pPr>
        <w:ind w:firstLine="200"/>
        <w:spacing w:line="360" w:lineRule="auto"/>
        <w:rPr>
          <w:rFonts w:ascii="宋体" w:hAnsi="宋体" w:eastAsia="宋体"/>
          <w:sz w:val="21"/>
          <w:szCs w:val="21"/>
        </w:rPr>
      </w:pPr>
      <w:r>
        <w:rPr>
          <w:rFonts w:hint="eastAsia" w:ascii="宋体" w:hAnsi="宋体" w:eastAsia="宋体"/>
          <w:sz w:val="21"/>
          <w:szCs w:val="21"/>
        </w:rPr>
        <w:t xml:space="preserve">（2）如果乙方未能履行合同规定的其它任何义务。 </w:t>
      </w:r>
      <w:r/>
    </w:p>
    <w:p>
      <w:pPr>
        <w:ind w:firstLine="200"/>
        <w:spacing w:line="360" w:lineRule="auto"/>
        <w:rPr>
          <w:rFonts w:ascii="宋体" w:hAnsi="宋体" w:eastAsia="宋体"/>
          <w:sz w:val="21"/>
          <w:szCs w:val="21"/>
        </w:rPr>
      </w:pPr>
      <w:r>
        <w:rPr>
          <w:rFonts w:hint="eastAsia" w:ascii="宋体" w:hAnsi="宋体" w:eastAsia="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3.如果甲方违约，应承担相应的违约责任。 </w:t>
      </w:r>
      <w:r/>
    </w:p>
    <w:p>
      <w:pPr>
        <w:ind w:firstLine="422"/>
        <w:spacing w:line="360" w:lineRule="auto"/>
        <w:rPr>
          <w:rFonts w:ascii="宋体" w:hAnsi="宋体" w:eastAsia="宋体"/>
          <w:sz w:val="21"/>
          <w:szCs w:val="21"/>
        </w:rPr>
      </w:pPr>
      <w:r>
        <w:rPr>
          <w:rFonts w:hint="eastAsia" w:ascii="宋体" w:hAnsi="宋体" w:eastAsia="宋体"/>
          <w:b/>
          <w:sz w:val="21"/>
          <w:szCs w:val="21"/>
        </w:rPr>
        <w:t xml:space="preserve">十六、破产终止合同：</w:t>
      </w:r>
      <w:r>
        <w:rPr>
          <w:rFonts w:hint="eastAsia" w:ascii="宋体" w:hAnsi="宋体" w:eastAsia="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十八、合同转让和分包：</w:t>
      </w:r>
      <w:r>
        <w:rPr>
          <w:rFonts w:hint="eastAsia" w:ascii="宋体" w:hAnsi="宋体" w:eastAsia="宋体"/>
          <w:sz w:val="21"/>
          <w:szCs w:val="21"/>
        </w:rPr>
        <w:t xml:space="preserve">本项目不得转包、分包。</w:t>
      </w:r>
      <w:r/>
    </w:p>
    <w:p>
      <w:pPr>
        <w:ind w:firstLine="422"/>
        <w:spacing w:line="360" w:lineRule="auto"/>
        <w:rPr>
          <w:rFonts w:ascii="宋体" w:hAnsi="宋体" w:eastAsia="宋体"/>
          <w:sz w:val="21"/>
          <w:szCs w:val="21"/>
        </w:rPr>
      </w:pPr>
      <w:r>
        <w:rPr>
          <w:rFonts w:hint="eastAsia" w:ascii="宋体" w:hAnsi="宋体" w:eastAsia="宋体"/>
          <w:b/>
          <w:sz w:val="21"/>
          <w:szCs w:val="21"/>
        </w:rPr>
        <w:t xml:space="preserve">十九、合同生效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1.双方签约人为各自法定代表人或被授权代表。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2.本合同系指本文件及其附件中的所有部分，采购文件、成交的投标文件、成交通知书、成交单位在招标过程中的澄清和承诺等为本合同不可缺少的组成部分。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本合同自甲乙双方签字盖章之日起生效。</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4.本合同壹</w:t>
      </w:r>
      <w:r>
        <w:rPr>
          <w:rFonts w:hint="eastAsia" w:ascii="宋体" w:hAnsi="宋体" w:eastAsia="宋体"/>
          <w:b w:val="0"/>
          <w:bCs w:val="0"/>
          <w:sz w:val="21"/>
          <w:szCs w:val="21"/>
        </w:rPr>
        <w:t xml:space="preserve">式</w:t>
      </w:r>
      <w:r>
        <w:rPr>
          <w:rFonts w:hint="eastAsia" w:ascii="宋体" w:hAnsi="宋体" w:eastAsia="宋体"/>
          <w:b w:val="0"/>
          <w:bCs w:val="0"/>
          <w:sz w:val="21"/>
          <w:szCs w:val="21"/>
          <w:lang w:val="en-US" w:eastAsia="zh-CN"/>
        </w:rPr>
        <w:t xml:space="preserve">伍</w:t>
      </w:r>
      <w:r>
        <w:rPr>
          <w:rFonts w:hint="eastAsia" w:ascii="宋体" w:hAnsi="宋体" w:eastAsia="宋体"/>
          <w:b w:val="0"/>
          <w:bCs w:val="0"/>
          <w:sz w:val="21"/>
          <w:szCs w:val="21"/>
        </w:rPr>
        <w:t xml:space="preserve">份，甲乙双方各执贰份，</w:t>
      </w:r>
      <w:r>
        <w:rPr>
          <w:rFonts w:hint="eastAsia" w:ascii="宋体" w:hAnsi="宋体" w:eastAsia="宋体"/>
          <w:sz w:val="21"/>
          <w:szCs w:val="21"/>
          <w:lang w:val="en-US" w:eastAsia="zh-CN"/>
        </w:rPr>
        <w:t xml:space="preserve">招标代理机构执壹份，</w:t>
      </w:r>
      <w:r>
        <w:rPr>
          <w:rFonts w:hint="eastAsia" w:ascii="宋体" w:hAnsi="宋体" w:eastAsia="宋体"/>
          <w:sz w:val="21"/>
          <w:szCs w:val="21"/>
        </w:rPr>
        <w:t xml:space="preserve">各份具有同等法律效力。</w:t>
      </w:r>
      <w:r/>
    </w:p>
    <w:p>
      <w:pPr>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.本合同应按照中华人民共和国的现行法律进行解释。</w:t>
      </w:r>
      <w:r/>
    </w:p>
    <w:p>
      <w:pPr>
        <w:ind w:firstLine="480"/>
        <w:spacing w:line="360"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.合同修改：除甲乙双方签署书面修改、补充协议，并成为本合同不可分割的一部分之外，本合同条件不得有任何变化或修改。</w:t>
      </w:r>
      <w:r/>
    </w:p>
    <w:p>
      <w:pPr>
        <w:ind w:firstLine="48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55"/>
        <w:spacing w:line="360" w:lineRule="auto"/>
        <w:rPr>
          <w:rFonts w:asciiTheme="minorEastAsia" w:hAnsiTheme="minorEastAsia" w:eastAsiaTheme="minorEastAsia"/>
          <w:sz w:val="21"/>
          <w:szCs w:val="21"/>
          <w:lang w:val="en-US"/>
        </w:rPr>
      </w:pPr>
      <w:r>
        <w:rPr>
          <w:rFonts w:asciiTheme="minorEastAsia" w:hAnsiTheme="minorEastAsia" w:eastAsiaTheme="minorEastAsia"/>
          <w:sz w:val="21"/>
          <w:szCs w:val="21"/>
          <w:lang w:val="en-US"/>
        </w:rPr>
      </w:r>
      <w:r/>
    </w:p>
    <w:p>
      <w:pPr>
        <w:pStyle w:val="755"/>
        <w:spacing w:line="360" w:lineRule="auto"/>
        <w:rPr>
          <w:rFonts w:asciiTheme="minorEastAsia" w:hAnsiTheme="minorEastAsia" w:eastAsiaTheme="minorEastAsia"/>
          <w:sz w:val="21"/>
          <w:szCs w:val="21"/>
          <w:lang w:val="en-US"/>
        </w:rPr>
      </w:pPr>
      <w:r>
        <w:rPr>
          <w:rFonts w:asciiTheme="minorEastAsia" w:hAnsiTheme="minorEastAsia" w:eastAsiaTheme="minorEastAsia"/>
          <w:sz w:val="21"/>
          <w:szCs w:val="21"/>
          <w:lang w:val="en-US"/>
        </w:rPr>
      </w:r>
      <w:r/>
    </w:p>
    <w:p>
      <w:pPr>
        <w:ind w:firstLine="48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甲方：（公章或合同专用章）          </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lang w:val="zh-CN"/>
        </w:rPr>
        <w:t xml:space="preserve">乙方： （公章或合同专用章）</w:t>
      </w:r>
      <w:r/>
    </w:p>
    <w:p>
      <w:pPr>
        <w:ind w:firstLine="48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法定代表人（授权代表）：                法定代表人（授权代表）：  </w:t>
      </w:r>
      <w:r/>
    </w:p>
    <w:p>
      <w:pPr>
        <w:ind w:firstLine="480"/>
        <w:spacing w:line="360" w:lineRule="auto"/>
        <w:rPr>
          <w:rFonts w:cs="Arial" w:asciiTheme="minorEastAsia" w:hAnsiTheme="minorEastAsia" w:eastAsiaTheme="minorEastAsia"/>
          <w:sz w:val="21"/>
          <w:szCs w:val="21"/>
        </w:rPr>
      </w:pPr>
      <w:r>
        <w:rPr>
          <w:rFonts w:hint="eastAsia" w:cs="宋体" w:asciiTheme="minorEastAsia" w:hAnsiTheme="minorEastAsia" w:eastAsiaTheme="minorEastAsia"/>
          <w:sz w:val="21"/>
          <w:szCs w:val="21"/>
          <w:lang w:val="zh-CN"/>
        </w:rPr>
        <w:t xml:space="preserve">签约日期：                              签约日期：     </w:t>
      </w:r>
      <w:r/>
    </w:p>
    <w:p>
      <w:pPr>
        <w:jc w:val="lef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br w:type="page" w:clear="all"/>
      </w:r>
      <w:bookmarkEnd w:id="57"/>
      <w:bookmarkEnd w:id="58"/>
      <w:r/>
    </w:p>
    <w:p>
      <w:pPr>
        <w:jc w:val="center"/>
        <w:spacing w:line="360" w:lineRule="auto"/>
        <w:rPr>
          <w:rFonts w:hint="eastAsia" w:asciiTheme="minorEastAsia" w:hAnsiTheme="minorEastAsia" w:eastAsiaTheme="minorEastAsia" w:cstheme="minorEastAsia"/>
          <w:b/>
          <w:color w:val="auto"/>
          <w:sz w:val="32"/>
          <w:szCs w:val="32"/>
          <w:highlight w:val="none"/>
        </w:rPr>
        <w:outlineLvl w:val="0"/>
      </w:pPr>
      <w:r>
        <w:rPr>
          <w:rFonts w:hint="eastAsia" w:asciiTheme="minorEastAsia" w:hAnsiTheme="minorEastAsia" w:eastAsiaTheme="minorEastAsia" w:cstheme="minorEastAsia"/>
          <w:b/>
          <w:color w:val="auto"/>
          <w:sz w:val="32"/>
          <w:szCs w:val="32"/>
          <w:highlight w:val="none"/>
        </w:rPr>
        <w:t xml:space="preserve">第六章 评标办法及评分标准</w:t>
      </w:r>
      <w:r/>
    </w:p>
    <w:p>
      <w:pPr>
        <w:jc w:val="left"/>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一、评标办法：</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次招标的评标方法采用综合评标法。即在最大限度地满足招标文件实质性要求的前提下，按照招标文件中规定的评分标准和各项因素进行综合评审，以评标总得分最高的投标单位作为中标单位。采购人书面授权评标委员会直接确定中标单位。</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3.如出现评标总得分最高的投标单位有两个或两个以上的，以实际投标报价较低者优先作为中标单位，如果实际投标报价也相同的，则由采购人组织以抽签方式确定中标单位。</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评标委员会（或磋商小组）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或磋商小组）应当将其作为无效投标处理。</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5.针对小型、微型企业的价格评审办法：</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根据《关于印发〈苏州市政府采购促进中小企业发展实施意见〉的通知》（苏财购〔2022〕16号）的相关规定，采用综合评分法的采购项目对属于小型、微型企业的投标单位给予评审优惠：</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（1）如投标单位属于小型或微型企业且提供自有服务的，对其报价给予20%的扣除；扣除后的价格参与价格评审。</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（2）中小企业划分标准详见“工信部联企业〔2011〕300号通知”</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（3）中小微企业在投标文件中提供签署的《中小企业声明函》。未按招标文件的规定在投标文件中提供《中小企业声明函》的，不享受促进中小微企业发展的相关政府采购政策。</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（4）以上规定未尽事项，按《政府采购促进中小企业发展暂行办法》等有关制度规定执行。</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注：①填报“中小企业声明函”需严格按“工信部联企业〔2011〕300号通知”中的《中小企业划型标准规定》进行。</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②若投标单位提供的 “中小企业声明函”（见第六章格式）为虚假声明则视同提供虚假材料，按“政府采购法”相关规定处理并报请政府监管部门给予行政处罚。</w:t>
      </w:r>
      <w:r/>
    </w:p>
    <w:p>
      <w:pPr>
        <w:ind w:firstLine="422"/>
        <w:jc w:val="left"/>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③专门面向中小企业采购的项目或者采购包，不再执行价格评审优惠的扶持政策。</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6.针对残疾人福利性单位的评审：</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根据《关于促进残疾人就业政府采购政策的通知》（财库〔2017〕141号）的通知规定，对属于残疾人福利性单位的投标单位给予评审加分：</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符合规定条件的残疾人福利性单位在参加</w:t>
      </w:r>
      <w:r>
        <w:rPr>
          <w:rFonts w:hint="eastAsia" w:asciiTheme="minorEastAsia" w:hAnsiTheme="minorEastAsia" w:eastAsiaTheme="minorEastAsia" w:cstheme="minorEastAsia"/>
          <w:color w:val="auto"/>
          <w:sz w:val="21"/>
          <w:szCs w:val="21"/>
          <w:highlight w:val="none"/>
          <w:lang w:val="en-US" w:eastAsia="zh-CN"/>
        </w:rPr>
        <w:t xml:space="preserve">采购</w:t>
      </w:r>
      <w:r>
        <w:rPr>
          <w:rFonts w:hint="eastAsia" w:asciiTheme="minorEastAsia" w:hAnsiTheme="minorEastAsia" w:eastAsiaTheme="minorEastAsia" w:cstheme="minorEastAsia"/>
          <w:color w:val="auto"/>
          <w:sz w:val="21"/>
          <w:szCs w:val="21"/>
          <w:highlight w:val="none"/>
        </w:rPr>
        <w:t xml:space="preserve">时，应当提供《残疾人福利性单位声明函》（见附件），并对声明的真实性负责，未提交则不享受相关价格扣除政策。任何单位或者个人在政府采购活动中均不得要求残疾人福利性单位提供其他证明声明函内容的材料。投标单位提供的《残疾人福利性单位声明函》与事实不符的，依照《中华人民共和国政府采购法》第七十七条第一款的规定追究法律责任。</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7.针对监狱企业的评审加分：</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根据《关于政府采购支持监狱企业发展有关问题的通知》（财库〔2014〕68号）的通知规定，对属于监狱企业的投标单位给予评审加分：</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监狱企业视同小型、微型企业，享受评审中价格扣除等政府采购促进中小企业发展的政府采购政策。</w:t>
      </w:r>
      <w:r/>
    </w:p>
    <w:p>
      <w:p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符合条件的监狱企业参加</w:t>
      </w:r>
      <w:r>
        <w:rPr>
          <w:rFonts w:hint="eastAsia" w:asciiTheme="minorEastAsia" w:hAnsiTheme="minorEastAsia" w:eastAsiaTheme="minorEastAsia" w:cstheme="minorEastAsia"/>
          <w:color w:val="auto"/>
          <w:sz w:val="21"/>
          <w:szCs w:val="21"/>
          <w:highlight w:val="none"/>
          <w:lang w:val="en-US" w:eastAsia="zh-CN"/>
        </w:rPr>
        <w:t xml:space="preserve">采购</w:t>
      </w:r>
      <w:r>
        <w:rPr>
          <w:rFonts w:hint="eastAsia" w:asciiTheme="minorEastAsia" w:hAnsiTheme="minorEastAsia" w:eastAsiaTheme="minorEastAsia" w:cstheme="minorEastAsia"/>
          <w:color w:val="auto"/>
          <w:sz w:val="21"/>
          <w:szCs w:val="21"/>
          <w:highlight w:val="none"/>
        </w:rPr>
        <w:t xml:space="preserve">时，应当提供由省级以上监狱管理局、戒毒管理局（含新疆生产建设兵团）出具的属于监狱企业的证明文件，未提交则不享受相关价格扣除政策。</w:t>
      </w:r>
      <w:r/>
    </w:p>
    <w:p>
      <w:pPr>
        <w:ind w:firstLine="422"/>
        <w:jc w:val="left"/>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注：上述优惠政策不重复享受。</w:t>
      </w:r>
      <w:r/>
    </w:p>
    <w:p>
      <w:pPr>
        <w:ind w:firstLine="422"/>
        <w:jc w:val="left"/>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服务类项目中投标单位若使用退休人员，将不享受小微企业价格扣除优惠政策。</w:t>
      </w:r>
      <w:r/>
    </w:p>
    <w:p>
      <w:pPr>
        <w:numPr>
          <w:ilvl w:val="0"/>
          <w:numId w:val="4"/>
        </w:numPr>
        <w:ind w:firstLine="422"/>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numPr>
          <w:ilvl w:val="0"/>
          <w:numId w:val="4"/>
        </w:numPr>
        <w:ind w:firstLine="422"/>
        <w:jc w:val="left"/>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针对联合体投标的，评分标准中涉及的人员、业绩、获奖等证书复印件等证明材料，均以联合体投标的牵头单位为准。</w:t>
      </w:r>
      <w:r/>
    </w:p>
    <w:p>
      <w:pPr>
        <w:pStyle w:val="763"/>
        <w:spacing w:line="440" w:lineRule="exact"/>
        <w:rPr>
          <w:rFonts w:hint="eastAsia" w:asciiTheme="minorEastAsia" w:hAnsiTheme="minorEastAsia" w:eastAsiaTheme="minorEastAsia" w:cstheme="minorEastAsia"/>
          <w:b/>
          <w:bCs w:val="0"/>
          <w:color w:val="auto"/>
          <w:spacing w:val="7"/>
          <w:sz w:val="21"/>
          <w:szCs w:val="21"/>
          <w:highlight w:val="none"/>
        </w:rPr>
      </w:pPr>
      <w:r>
        <w:rPr>
          <w:rFonts w:hint="eastAsia" w:asciiTheme="minorEastAsia" w:hAnsiTheme="minorEastAsia" w:eastAsiaTheme="minorEastAsia" w:cstheme="minorEastAsia"/>
          <w:b/>
          <w:bCs w:val="0"/>
          <w:color w:val="auto"/>
          <w:spacing w:val="7"/>
          <w:sz w:val="21"/>
          <w:szCs w:val="21"/>
          <w:highlight w:val="none"/>
        </w:rPr>
        <w:t xml:space="preserve">二、评分标准：</w:t>
      </w:r>
      <w:r/>
    </w:p>
    <w:p>
      <w:pPr>
        <w:pStyle w:val="763"/>
        <w:ind w:firstLine="448"/>
        <w:spacing w:line="440" w:lineRule="exact"/>
        <w:rPr>
          <w:rFonts w:hint="eastAsia" w:asciiTheme="minorEastAsia" w:hAnsiTheme="minorEastAsia" w:eastAsiaTheme="minorEastAsia" w:cstheme="minorEastAsia"/>
          <w:b/>
          <w:bCs w:val="0"/>
          <w:color w:val="auto"/>
          <w:spacing w:val="7"/>
          <w:sz w:val="21"/>
          <w:szCs w:val="21"/>
          <w:highlight w:val="none"/>
        </w:rPr>
      </w:pPr>
      <w:r>
        <w:rPr>
          <w:rFonts w:hint="eastAsia" w:asciiTheme="minorEastAsia" w:hAnsiTheme="minorEastAsia" w:eastAsiaTheme="minorEastAsia" w:cstheme="minorEastAsia"/>
          <w:b/>
          <w:bCs w:val="0"/>
          <w:color w:val="auto"/>
          <w:spacing w:val="7"/>
          <w:sz w:val="21"/>
          <w:szCs w:val="21"/>
          <w:highlight w:val="none"/>
        </w:rPr>
        <w:t xml:space="preserve">（一）价格分（</w:t>
      </w:r>
      <w:r>
        <w:rPr>
          <w:rFonts w:hint="eastAsia" w:asciiTheme="minorEastAsia" w:hAnsiTheme="minorEastAsia" w:eastAsiaTheme="minorEastAsia" w:cstheme="minorEastAsia"/>
          <w:b/>
          <w:bCs w:val="0"/>
          <w:color w:val="auto"/>
          <w:spacing w:val="7"/>
          <w:sz w:val="21"/>
          <w:szCs w:val="21"/>
          <w:highlight w:val="none"/>
          <w:lang w:val="en-US" w:eastAsia="zh-CN"/>
        </w:rPr>
        <w:t xml:space="preserve">3</w:t>
      </w:r>
      <w:r>
        <w:rPr>
          <w:rFonts w:hint="eastAsia" w:asciiTheme="minorEastAsia" w:hAnsiTheme="minorEastAsia" w:eastAsiaTheme="minorEastAsia" w:cstheme="minorEastAsia"/>
          <w:b/>
          <w:bCs w:val="0"/>
          <w:color w:val="auto"/>
          <w:spacing w:val="7"/>
          <w:sz w:val="21"/>
          <w:szCs w:val="21"/>
          <w:highlight w:val="none"/>
        </w:rPr>
        <w:t xml:space="preserve">0分）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投标报价低于或等于财政预算价格的，为有效投标报价。超财政预算的投标报价为无效投标报价。</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在所有有效投标报价中满足招标文件要求，且投标价格最低的投标报价为评标基准价，其他投标人的价格分按照下列公式计算（计算结果四舍五入保留两位小数）。</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投标报价得分＝（评标基准价/投标报价）×</w:t>
      </w:r>
      <w:r>
        <w:rPr>
          <w:rFonts w:hint="eastAsia" w:asciiTheme="minorEastAsia" w:hAnsiTheme="minorEastAsia" w:eastAsiaTheme="minorEastAsia" w:cstheme="minorEastAsia"/>
          <w:bCs/>
          <w:color w:val="auto"/>
          <w:spacing w:val="7"/>
          <w:sz w:val="21"/>
          <w:szCs w:val="21"/>
          <w:highlight w:val="none"/>
          <w:lang w:val="en-US" w:eastAsia="zh-CN"/>
        </w:rPr>
        <w:t xml:space="preserve">3</w:t>
      </w:r>
      <w:r>
        <w:rPr>
          <w:rFonts w:hint="eastAsia" w:asciiTheme="minorEastAsia" w:hAnsiTheme="minorEastAsia" w:eastAsiaTheme="minorEastAsia" w:cstheme="minorEastAsia"/>
          <w:bCs/>
          <w:color w:val="auto"/>
          <w:spacing w:val="7"/>
          <w:sz w:val="21"/>
          <w:szCs w:val="21"/>
          <w:highlight w:val="none"/>
        </w:rPr>
        <w:t xml:space="preserve">0％×100</w:t>
      </w:r>
      <w:r/>
    </w:p>
    <w:p>
      <w:pPr>
        <w:pStyle w:val="763"/>
        <w:ind w:firstLine="448"/>
        <w:spacing w:line="440" w:lineRule="exact"/>
        <w:rPr>
          <w:rFonts w:hint="eastAsia" w:asciiTheme="minorEastAsia" w:hAnsiTheme="minorEastAsia" w:eastAsiaTheme="minorEastAsia" w:cstheme="minorEastAsia"/>
          <w:b/>
          <w:bCs w:val="0"/>
          <w:color w:val="auto"/>
          <w:spacing w:val="7"/>
          <w:sz w:val="21"/>
          <w:szCs w:val="21"/>
          <w:highlight w:val="none"/>
        </w:rPr>
      </w:pPr>
      <w:r>
        <w:rPr>
          <w:rFonts w:hint="eastAsia" w:asciiTheme="minorEastAsia" w:hAnsiTheme="minorEastAsia" w:eastAsiaTheme="minorEastAsia" w:cstheme="minorEastAsia"/>
          <w:b/>
          <w:bCs w:val="0"/>
          <w:color w:val="auto"/>
          <w:spacing w:val="7"/>
          <w:sz w:val="21"/>
          <w:szCs w:val="21"/>
          <w:highlight w:val="none"/>
        </w:rPr>
        <w:t xml:space="preserve">（二）技术参数、性能等符合性（</w:t>
      </w:r>
      <w:r>
        <w:rPr>
          <w:rFonts w:hint="eastAsia" w:asciiTheme="minorEastAsia" w:hAnsiTheme="minorEastAsia" w:eastAsiaTheme="minorEastAsia" w:cstheme="minorEastAsia"/>
          <w:b/>
          <w:bCs w:val="0"/>
          <w:color w:val="auto"/>
          <w:spacing w:val="7"/>
          <w:sz w:val="21"/>
          <w:szCs w:val="21"/>
          <w:highlight w:val="none"/>
          <w:lang w:val="en-US" w:eastAsia="zh-CN"/>
        </w:rPr>
        <w:t xml:space="preserve">12</w:t>
      </w:r>
      <w:r>
        <w:rPr>
          <w:rFonts w:hint="eastAsia" w:asciiTheme="minorEastAsia" w:hAnsiTheme="minorEastAsia" w:eastAsiaTheme="minorEastAsia" w:cstheme="minorEastAsia"/>
          <w:b/>
          <w:bCs w:val="0"/>
          <w:color w:val="auto"/>
          <w:spacing w:val="7"/>
          <w:sz w:val="21"/>
          <w:szCs w:val="21"/>
          <w:highlight w:val="none"/>
        </w:rPr>
        <w:t xml:space="preserve">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全部响应招标主要设备选型要求要求的，得</w:t>
      </w:r>
      <w:r>
        <w:rPr>
          <w:rFonts w:hint="eastAsia" w:asciiTheme="minorEastAsia" w:hAnsiTheme="minorEastAsia" w:eastAsiaTheme="minorEastAsia" w:cstheme="minorEastAsia"/>
          <w:bCs/>
          <w:color w:val="auto"/>
          <w:spacing w:val="7"/>
          <w:sz w:val="21"/>
          <w:szCs w:val="21"/>
          <w:highlight w:val="none"/>
          <w:lang w:val="en-US" w:eastAsia="zh-CN"/>
        </w:rPr>
        <w:t xml:space="preserve">12</w:t>
      </w:r>
      <w:r>
        <w:rPr>
          <w:rFonts w:hint="eastAsia" w:asciiTheme="minorEastAsia" w:hAnsiTheme="minorEastAsia" w:eastAsiaTheme="minorEastAsia" w:cstheme="minorEastAsia"/>
          <w:bCs/>
          <w:color w:val="auto"/>
          <w:spacing w:val="7"/>
          <w:sz w:val="21"/>
          <w:szCs w:val="21"/>
          <w:highlight w:val="none"/>
        </w:rPr>
        <w:t xml:space="preserve">分，每项负偏离扣1</w:t>
      </w:r>
      <w:r>
        <w:rPr>
          <w:rFonts w:hint="eastAsia" w:asciiTheme="minorEastAsia" w:hAnsiTheme="minorEastAsia" w:eastAsiaTheme="minorEastAsia" w:cstheme="minorEastAsia"/>
          <w:bCs/>
          <w:color w:val="auto"/>
          <w:spacing w:val="7"/>
          <w:sz w:val="21"/>
          <w:szCs w:val="21"/>
          <w:highlight w:val="none"/>
          <w:lang w:val="en-US" w:eastAsia="zh-CN"/>
        </w:rPr>
        <w:t xml:space="preserve">.5</w:t>
      </w:r>
      <w:r>
        <w:rPr>
          <w:rFonts w:hint="eastAsia" w:asciiTheme="minorEastAsia" w:hAnsiTheme="minorEastAsia" w:eastAsiaTheme="minorEastAsia" w:cstheme="minorEastAsia"/>
          <w:bCs/>
          <w:color w:val="auto"/>
          <w:spacing w:val="7"/>
          <w:sz w:val="21"/>
          <w:szCs w:val="21"/>
          <w:highlight w:val="none"/>
        </w:rPr>
        <w:t xml:space="preserve">分，扣完为止。带“★”项须在响应文件中提供公安部所属权威检测机构出具的检测报告。</w:t>
      </w:r>
      <w:r/>
    </w:p>
    <w:p>
      <w:pPr>
        <w:pStyle w:val="763"/>
        <w:ind w:firstLine="448"/>
        <w:spacing w:line="440" w:lineRule="exact"/>
        <w:rPr>
          <w:rFonts w:hint="eastAsia" w:asciiTheme="minorEastAsia" w:hAnsiTheme="minorEastAsia" w:eastAsiaTheme="minorEastAsia" w:cstheme="minorEastAsia"/>
          <w:b/>
          <w:bCs w:val="0"/>
          <w:color w:val="auto"/>
          <w:spacing w:val="7"/>
          <w:sz w:val="21"/>
          <w:szCs w:val="21"/>
          <w:highlight w:val="none"/>
        </w:rPr>
      </w:pPr>
      <w:r>
        <w:rPr>
          <w:rFonts w:hint="eastAsia" w:asciiTheme="minorEastAsia" w:hAnsiTheme="minorEastAsia" w:eastAsiaTheme="minorEastAsia" w:cstheme="minorEastAsia"/>
          <w:b/>
          <w:bCs w:val="0"/>
          <w:color w:val="auto"/>
          <w:spacing w:val="7"/>
          <w:sz w:val="21"/>
          <w:szCs w:val="21"/>
          <w:highlight w:val="none"/>
        </w:rPr>
        <w:t xml:space="preserve">（三）服务方案比较（</w:t>
      </w:r>
      <w:r>
        <w:rPr>
          <w:rFonts w:hint="eastAsia" w:asciiTheme="minorEastAsia" w:hAnsiTheme="minorEastAsia" w:eastAsiaTheme="minorEastAsia" w:cstheme="minorEastAsia"/>
          <w:b/>
          <w:bCs w:val="0"/>
          <w:color w:val="auto"/>
          <w:spacing w:val="7"/>
          <w:sz w:val="21"/>
          <w:szCs w:val="21"/>
          <w:highlight w:val="none"/>
          <w:lang w:val="en-US" w:eastAsia="zh-CN"/>
        </w:rPr>
        <w:t xml:space="preserve">39</w:t>
      </w:r>
      <w:r>
        <w:rPr>
          <w:rFonts w:hint="eastAsia" w:asciiTheme="minorEastAsia" w:hAnsiTheme="minorEastAsia" w:eastAsiaTheme="minorEastAsia" w:cstheme="minorEastAsia"/>
          <w:b/>
          <w:bCs w:val="0"/>
          <w:color w:val="auto"/>
          <w:spacing w:val="7"/>
          <w:sz w:val="21"/>
          <w:szCs w:val="21"/>
          <w:highlight w:val="none"/>
        </w:rPr>
        <w:t xml:space="preserve">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lang w:val="en-US" w:eastAsia="zh-CN"/>
        </w:rPr>
        <w:t xml:space="preserve">1</w:t>
      </w:r>
      <w:r>
        <w:rPr>
          <w:rFonts w:hint="eastAsia" w:asciiTheme="minorEastAsia" w:hAnsiTheme="minorEastAsia" w:eastAsiaTheme="minorEastAsia" w:cstheme="minorEastAsia"/>
          <w:bCs/>
          <w:color w:val="auto"/>
          <w:spacing w:val="7"/>
          <w:sz w:val="21"/>
          <w:szCs w:val="21"/>
          <w:highlight w:val="none"/>
          <w:lang w:eastAsia="zh-CN"/>
        </w:rPr>
        <w:t xml:space="preserve">、</w:t>
      </w:r>
      <w:r>
        <w:rPr>
          <w:rFonts w:hint="eastAsia" w:asciiTheme="minorEastAsia" w:hAnsiTheme="minorEastAsia" w:eastAsiaTheme="minorEastAsia" w:cstheme="minorEastAsia"/>
          <w:bCs/>
          <w:color w:val="auto"/>
          <w:spacing w:val="7"/>
          <w:sz w:val="21"/>
          <w:szCs w:val="21"/>
          <w:highlight w:val="none"/>
        </w:rPr>
        <w:t xml:space="preserve">技术方案(1</w:t>
      </w:r>
      <w:r>
        <w:rPr>
          <w:rFonts w:hint="eastAsia" w:asciiTheme="minorEastAsia" w:hAnsiTheme="minorEastAsia" w:eastAsiaTheme="minorEastAsia" w:cstheme="minorEastAsia"/>
          <w:bCs/>
          <w:color w:val="auto"/>
          <w:spacing w:val="7"/>
          <w:sz w:val="21"/>
          <w:szCs w:val="21"/>
          <w:highlight w:val="none"/>
          <w:lang w:val="en-US" w:eastAsia="zh-CN"/>
        </w:rPr>
        <w:t xml:space="preserve">0</w:t>
      </w:r>
      <w:r>
        <w:rPr>
          <w:rFonts w:hint="eastAsia" w:asciiTheme="minorEastAsia" w:hAnsiTheme="minorEastAsia" w:eastAsiaTheme="minorEastAsia" w:cstheme="minorEastAsia"/>
          <w:bCs/>
          <w:color w:val="auto"/>
          <w:spacing w:val="7"/>
          <w:sz w:val="21"/>
          <w:szCs w:val="21"/>
          <w:highlight w:val="none"/>
        </w:rPr>
        <w:t xml:space="preserve">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投标人根据本项目特点，制定技术方案。（包括但不限于项目系统设计方案、项目组织机构配置方案等）：项目技术设计方案全面合理、针对性强、专业性强、思路清晰、与</w:t>
      </w:r>
      <w:r>
        <w:rPr>
          <w:rFonts w:hint="eastAsia" w:asciiTheme="minorEastAsia" w:hAnsiTheme="minorEastAsia" w:eastAsiaTheme="minorEastAsia" w:cstheme="minorEastAsia"/>
          <w:bCs/>
          <w:color w:val="auto"/>
          <w:spacing w:val="7"/>
          <w:sz w:val="21"/>
          <w:szCs w:val="21"/>
          <w:highlight w:val="none"/>
          <w:lang w:val="en-US" w:eastAsia="zh-CN"/>
        </w:rPr>
        <w:t xml:space="preserve">招标</w:t>
      </w:r>
      <w:r>
        <w:rPr>
          <w:rFonts w:hint="eastAsia" w:asciiTheme="minorEastAsia" w:hAnsiTheme="minorEastAsia" w:eastAsiaTheme="minorEastAsia" w:cstheme="minorEastAsia"/>
          <w:bCs/>
          <w:color w:val="auto"/>
          <w:spacing w:val="7"/>
          <w:sz w:val="21"/>
          <w:szCs w:val="21"/>
          <w:highlight w:val="none"/>
        </w:rPr>
        <w:t xml:space="preserve">需求贴合度高得</w:t>
      </w:r>
      <w:r>
        <w:rPr>
          <w:rFonts w:hint="eastAsia" w:asciiTheme="minorEastAsia" w:hAnsiTheme="minorEastAsia" w:eastAsiaTheme="minorEastAsia" w:cstheme="minorEastAsia"/>
          <w:bCs/>
          <w:color w:val="auto"/>
          <w:spacing w:val="7"/>
          <w:sz w:val="21"/>
          <w:szCs w:val="21"/>
          <w:highlight w:val="none"/>
          <w:lang w:val="en-US" w:eastAsia="zh-CN"/>
        </w:rPr>
        <w:t xml:space="preserve">10</w:t>
      </w:r>
      <w:r>
        <w:rPr>
          <w:rFonts w:hint="eastAsia" w:asciiTheme="minorEastAsia" w:hAnsiTheme="minorEastAsia" w:eastAsiaTheme="minorEastAsia" w:cstheme="minorEastAsia"/>
          <w:bCs/>
          <w:color w:val="auto"/>
          <w:spacing w:val="7"/>
          <w:sz w:val="21"/>
          <w:szCs w:val="21"/>
          <w:highlight w:val="none"/>
        </w:rPr>
        <w:t xml:space="preserve">分；方案较合理、针对性较强、专业性较强、思路较清晰、与</w:t>
      </w:r>
      <w:r>
        <w:rPr>
          <w:rFonts w:hint="eastAsia" w:asciiTheme="minorEastAsia" w:hAnsiTheme="minorEastAsia" w:eastAsiaTheme="minorEastAsia" w:cstheme="minorEastAsia"/>
          <w:bCs/>
          <w:color w:val="auto"/>
          <w:spacing w:val="7"/>
          <w:sz w:val="21"/>
          <w:szCs w:val="21"/>
          <w:highlight w:val="none"/>
          <w:lang w:val="en-US" w:eastAsia="zh-CN"/>
        </w:rPr>
        <w:t xml:space="preserve">招标</w:t>
      </w:r>
      <w:r>
        <w:rPr>
          <w:rFonts w:hint="eastAsia" w:asciiTheme="minorEastAsia" w:hAnsiTheme="minorEastAsia" w:eastAsiaTheme="minorEastAsia" w:cstheme="minorEastAsia"/>
          <w:bCs/>
          <w:color w:val="auto"/>
          <w:spacing w:val="7"/>
          <w:sz w:val="21"/>
          <w:szCs w:val="21"/>
          <w:highlight w:val="none"/>
        </w:rPr>
        <w:t xml:space="preserve">需求贴合度较高得</w:t>
      </w:r>
      <w:r>
        <w:rPr>
          <w:rFonts w:hint="eastAsia" w:asciiTheme="minorEastAsia" w:hAnsiTheme="minorEastAsia" w:eastAsiaTheme="minorEastAsia" w:cstheme="minorEastAsia"/>
          <w:bCs/>
          <w:color w:val="auto"/>
          <w:spacing w:val="7"/>
          <w:sz w:val="21"/>
          <w:szCs w:val="21"/>
          <w:highlight w:val="none"/>
          <w:lang w:val="en-US" w:eastAsia="zh-CN"/>
        </w:rPr>
        <w:t xml:space="preserve">7</w:t>
      </w:r>
      <w:r>
        <w:rPr>
          <w:rFonts w:hint="eastAsia" w:asciiTheme="minorEastAsia" w:hAnsiTheme="minorEastAsia" w:eastAsiaTheme="minorEastAsia" w:cstheme="minorEastAsia"/>
          <w:bCs/>
          <w:color w:val="auto"/>
          <w:spacing w:val="7"/>
          <w:sz w:val="21"/>
          <w:szCs w:val="21"/>
          <w:highlight w:val="none"/>
        </w:rPr>
        <w:t xml:space="preserve">分；方案合理、针对性、专业性</w:t>
      </w:r>
      <w:r>
        <w:rPr>
          <w:rFonts w:hint="eastAsia" w:asciiTheme="minorEastAsia" w:hAnsiTheme="minorEastAsia" w:eastAsiaTheme="minorEastAsia" w:cstheme="minorEastAsia"/>
          <w:bCs/>
          <w:color w:val="auto"/>
          <w:spacing w:val="7"/>
          <w:sz w:val="21"/>
          <w:szCs w:val="21"/>
          <w:highlight w:val="none"/>
          <w:lang w:val="en-US" w:eastAsia="zh-CN"/>
        </w:rPr>
        <w:t xml:space="preserve">基本能凑满足招标</w:t>
      </w:r>
      <w:r>
        <w:rPr>
          <w:rFonts w:hint="eastAsia" w:asciiTheme="minorEastAsia" w:hAnsiTheme="minorEastAsia" w:eastAsiaTheme="minorEastAsia" w:cstheme="minorEastAsia"/>
          <w:bCs/>
          <w:color w:val="auto"/>
          <w:spacing w:val="7"/>
          <w:sz w:val="21"/>
          <w:szCs w:val="21"/>
          <w:highlight w:val="none"/>
        </w:rPr>
        <w:t xml:space="preserve">需求</w:t>
      </w:r>
      <w:r>
        <w:rPr>
          <w:rFonts w:hint="eastAsia" w:asciiTheme="minorEastAsia" w:hAnsiTheme="minorEastAsia" w:eastAsiaTheme="minorEastAsia" w:cstheme="minorEastAsia"/>
          <w:bCs/>
          <w:color w:val="auto"/>
          <w:spacing w:val="7"/>
          <w:sz w:val="21"/>
          <w:szCs w:val="21"/>
          <w:highlight w:val="none"/>
          <w:lang w:val="en-US" w:eastAsia="zh-CN"/>
        </w:rPr>
        <w:t xml:space="preserve">的</w:t>
      </w:r>
      <w:r>
        <w:rPr>
          <w:rFonts w:hint="eastAsia" w:asciiTheme="minorEastAsia" w:hAnsiTheme="minorEastAsia" w:eastAsiaTheme="minorEastAsia" w:cstheme="minorEastAsia"/>
          <w:bCs/>
          <w:color w:val="auto"/>
          <w:spacing w:val="7"/>
          <w:sz w:val="21"/>
          <w:szCs w:val="21"/>
          <w:highlight w:val="none"/>
        </w:rPr>
        <w:t xml:space="preserve">得</w:t>
      </w:r>
      <w:r>
        <w:rPr>
          <w:rFonts w:hint="eastAsia" w:asciiTheme="minorEastAsia" w:hAnsiTheme="minorEastAsia" w:eastAsiaTheme="minorEastAsia" w:cstheme="minorEastAsia"/>
          <w:bCs/>
          <w:color w:val="auto"/>
          <w:spacing w:val="7"/>
          <w:sz w:val="21"/>
          <w:szCs w:val="21"/>
          <w:highlight w:val="none"/>
          <w:lang w:val="en-US" w:eastAsia="zh-CN"/>
        </w:rPr>
        <w:t xml:space="preserve">4</w:t>
      </w:r>
      <w:r>
        <w:rPr>
          <w:rFonts w:hint="eastAsia" w:asciiTheme="minorEastAsia" w:hAnsiTheme="minorEastAsia" w:eastAsiaTheme="minorEastAsia" w:cstheme="minorEastAsia"/>
          <w:bCs/>
          <w:color w:val="auto"/>
          <w:spacing w:val="7"/>
          <w:sz w:val="21"/>
          <w:szCs w:val="21"/>
          <w:highlight w:val="none"/>
        </w:rPr>
        <w:t xml:space="preserve">分</w:t>
      </w:r>
      <w:r>
        <w:rPr>
          <w:rFonts w:hint="eastAsia" w:asciiTheme="minorEastAsia" w:hAnsiTheme="minorEastAsia" w:eastAsiaTheme="minorEastAsia" w:cstheme="minorEastAsia"/>
          <w:bCs/>
          <w:color w:val="auto"/>
          <w:spacing w:val="7"/>
          <w:sz w:val="21"/>
          <w:szCs w:val="21"/>
          <w:highlight w:val="none"/>
          <w:lang w:val="en-US" w:eastAsia="zh-CN"/>
        </w:rPr>
        <w:t xml:space="preserve">，</w:t>
      </w:r>
      <w:r>
        <w:rPr>
          <w:rFonts w:hint="eastAsia" w:asciiTheme="minorEastAsia" w:hAnsiTheme="minorEastAsia" w:eastAsiaTheme="minorEastAsia" w:cstheme="minorEastAsia"/>
          <w:bCs/>
          <w:color w:val="auto"/>
          <w:spacing w:val="7"/>
          <w:sz w:val="21"/>
          <w:szCs w:val="21"/>
          <w:highlight w:val="none"/>
        </w:rPr>
        <w:t xml:space="preserve">方案不全面、专业性一般、思路模糊、</w:t>
      </w:r>
      <w:r>
        <w:rPr>
          <w:rFonts w:hint="eastAsia" w:asciiTheme="minorEastAsia" w:hAnsiTheme="minorEastAsia" w:eastAsiaTheme="minorEastAsia" w:cstheme="minorEastAsia"/>
          <w:bCs/>
          <w:color w:val="auto"/>
          <w:spacing w:val="7"/>
          <w:sz w:val="21"/>
          <w:szCs w:val="21"/>
          <w:highlight w:val="none"/>
          <w:lang w:val="en-US" w:eastAsia="zh-CN"/>
        </w:rPr>
        <w:t xml:space="preserve">内容有很大欠缺的</w:t>
      </w:r>
      <w:r>
        <w:rPr>
          <w:rFonts w:hint="eastAsia" w:asciiTheme="minorEastAsia" w:hAnsiTheme="minorEastAsia" w:eastAsiaTheme="minorEastAsia" w:cstheme="minorEastAsia"/>
          <w:bCs/>
          <w:color w:val="auto"/>
          <w:spacing w:val="7"/>
          <w:sz w:val="21"/>
          <w:szCs w:val="21"/>
          <w:highlight w:val="none"/>
        </w:rPr>
        <w:t xml:space="preserve">得</w:t>
      </w:r>
      <w:r>
        <w:rPr>
          <w:rFonts w:hint="eastAsia" w:asciiTheme="minorEastAsia" w:hAnsiTheme="minorEastAsia" w:eastAsiaTheme="minorEastAsia" w:cstheme="minorEastAsia"/>
          <w:bCs/>
          <w:color w:val="auto"/>
          <w:spacing w:val="7"/>
          <w:sz w:val="21"/>
          <w:szCs w:val="21"/>
          <w:highlight w:val="none"/>
          <w:lang w:val="en-US" w:eastAsia="zh-CN"/>
        </w:rPr>
        <w:t xml:space="preserve">1</w:t>
      </w:r>
      <w:r>
        <w:rPr>
          <w:rFonts w:hint="eastAsia" w:asciiTheme="minorEastAsia" w:hAnsiTheme="minorEastAsia" w:eastAsiaTheme="minorEastAsia" w:cstheme="minorEastAsia"/>
          <w:bCs/>
          <w:color w:val="auto"/>
          <w:spacing w:val="7"/>
          <w:sz w:val="21"/>
          <w:szCs w:val="21"/>
          <w:highlight w:val="none"/>
        </w:rPr>
        <w:t xml:space="preserve">分；未提供不得分。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lang w:val="en-US" w:eastAsia="zh-CN"/>
        </w:rPr>
        <w:t xml:space="preserve">2</w:t>
      </w:r>
      <w:r>
        <w:rPr>
          <w:rFonts w:hint="eastAsia" w:asciiTheme="minorEastAsia" w:hAnsiTheme="minorEastAsia" w:eastAsiaTheme="minorEastAsia" w:cstheme="minorEastAsia"/>
          <w:bCs/>
          <w:color w:val="auto"/>
          <w:spacing w:val="7"/>
          <w:sz w:val="21"/>
          <w:szCs w:val="21"/>
          <w:highlight w:val="none"/>
          <w:lang w:eastAsia="zh-CN"/>
        </w:rPr>
        <w:t xml:space="preserve">、</w:t>
      </w:r>
      <w:r>
        <w:rPr>
          <w:rFonts w:hint="eastAsia" w:asciiTheme="minorEastAsia" w:hAnsiTheme="minorEastAsia" w:eastAsiaTheme="minorEastAsia" w:cstheme="minorEastAsia"/>
          <w:bCs/>
          <w:color w:val="auto"/>
          <w:spacing w:val="7"/>
          <w:sz w:val="21"/>
          <w:szCs w:val="21"/>
          <w:highlight w:val="none"/>
        </w:rPr>
        <w:t xml:space="preserve">供货及安装方案（</w:t>
      </w:r>
      <w:r>
        <w:rPr>
          <w:rFonts w:hint="eastAsia" w:asciiTheme="minorEastAsia" w:hAnsiTheme="minorEastAsia" w:eastAsiaTheme="minorEastAsia" w:cstheme="minorEastAsia"/>
          <w:bCs/>
          <w:color w:val="auto"/>
          <w:spacing w:val="7"/>
          <w:sz w:val="21"/>
          <w:szCs w:val="21"/>
          <w:highlight w:val="none"/>
          <w:lang w:val="en-US" w:eastAsia="zh-CN"/>
        </w:rPr>
        <w:t xml:space="preserve">8</w:t>
      </w:r>
      <w:r>
        <w:rPr>
          <w:rFonts w:hint="eastAsia" w:asciiTheme="minorEastAsia" w:hAnsiTheme="minorEastAsia" w:eastAsiaTheme="minorEastAsia" w:cstheme="minorEastAsia"/>
          <w:bCs/>
          <w:color w:val="auto"/>
          <w:spacing w:val="7"/>
          <w:sz w:val="21"/>
          <w:szCs w:val="21"/>
          <w:highlight w:val="none"/>
        </w:rPr>
        <w:t xml:space="preserve">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供应商根据本项目特点，制定供货</w:t>
      </w:r>
      <w:r>
        <w:rPr>
          <w:rFonts w:hint="eastAsia" w:asciiTheme="minorEastAsia" w:hAnsiTheme="minorEastAsia" w:eastAsiaTheme="minorEastAsia" w:cstheme="minorEastAsia"/>
          <w:bCs/>
          <w:color w:val="auto"/>
          <w:spacing w:val="7"/>
          <w:sz w:val="21"/>
          <w:szCs w:val="21"/>
          <w:highlight w:val="none"/>
          <w:lang w:eastAsia="zh-CN"/>
        </w:rPr>
        <w:t xml:space="preserve">、</w:t>
      </w:r>
      <w:r>
        <w:rPr>
          <w:rFonts w:hint="eastAsia" w:asciiTheme="minorEastAsia" w:hAnsiTheme="minorEastAsia" w:eastAsiaTheme="minorEastAsia" w:cstheme="minorEastAsia"/>
          <w:bCs/>
          <w:color w:val="auto"/>
          <w:spacing w:val="7"/>
          <w:sz w:val="21"/>
          <w:szCs w:val="21"/>
          <w:highlight w:val="none"/>
          <w:lang w:val="en-US" w:eastAsia="zh-CN"/>
        </w:rPr>
        <w:t xml:space="preserve">进度计划、进度保障措施、</w:t>
      </w:r>
      <w:r>
        <w:rPr>
          <w:rFonts w:hint="eastAsia" w:asciiTheme="minorEastAsia" w:hAnsiTheme="minorEastAsia" w:eastAsiaTheme="minorEastAsia" w:cstheme="minorEastAsia"/>
          <w:bCs/>
          <w:color w:val="auto"/>
          <w:spacing w:val="7"/>
          <w:sz w:val="21"/>
          <w:szCs w:val="21"/>
          <w:highlight w:val="none"/>
        </w:rPr>
        <w:t xml:space="preserve">安装</w:t>
      </w:r>
      <w:r>
        <w:rPr>
          <w:rFonts w:hint="eastAsia" w:asciiTheme="minorEastAsia" w:hAnsiTheme="minorEastAsia" w:eastAsiaTheme="minorEastAsia" w:cstheme="minorEastAsia"/>
          <w:bCs/>
          <w:color w:val="auto"/>
          <w:spacing w:val="7"/>
          <w:sz w:val="21"/>
          <w:szCs w:val="21"/>
          <w:highlight w:val="none"/>
          <w:lang w:val="en-US" w:eastAsia="zh-CN"/>
        </w:rPr>
        <w:t xml:space="preserve">调试</w:t>
      </w:r>
      <w:r>
        <w:rPr>
          <w:rFonts w:hint="eastAsia" w:asciiTheme="minorEastAsia" w:hAnsiTheme="minorEastAsia" w:eastAsiaTheme="minorEastAsia" w:cstheme="minorEastAsia"/>
          <w:bCs/>
          <w:color w:val="auto"/>
          <w:spacing w:val="7"/>
          <w:sz w:val="21"/>
          <w:szCs w:val="21"/>
          <w:highlight w:val="none"/>
        </w:rPr>
        <w:t xml:space="preserve">方案。方案全面合理、针对性强、专业性强、思路清晰、与</w:t>
      </w:r>
      <w:r>
        <w:rPr>
          <w:rFonts w:hint="eastAsia" w:asciiTheme="minorEastAsia" w:hAnsiTheme="minorEastAsia" w:eastAsiaTheme="minorEastAsia" w:cstheme="minorEastAsia"/>
          <w:bCs/>
          <w:color w:val="auto"/>
          <w:spacing w:val="7"/>
          <w:sz w:val="21"/>
          <w:szCs w:val="21"/>
          <w:highlight w:val="none"/>
          <w:lang w:val="en-US" w:eastAsia="zh-CN"/>
        </w:rPr>
        <w:t xml:space="preserve">招标</w:t>
      </w:r>
      <w:r>
        <w:rPr>
          <w:rFonts w:hint="eastAsia" w:asciiTheme="minorEastAsia" w:hAnsiTheme="minorEastAsia" w:eastAsiaTheme="minorEastAsia" w:cstheme="minorEastAsia"/>
          <w:bCs/>
          <w:color w:val="auto"/>
          <w:spacing w:val="7"/>
          <w:sz w:val="21"/>
          <w:szCs w:val="21"/>
          <w:highlight w:val="none"/>
        </w:rPr>
        <w:t xml:space="preserve">需求贴合度高得</w:t>
      </w:r>
      <w:r>
        <w:rPr>
          <w:rFonts w:hint="eastAsia" w:asciiTheme="minorEastAsia" w:hAnsiTheme="minorEastAsia" w:eastAsiaTheme="minorEastAsia" w:cstheme="minorEastAsia"/>
          <w:bCs/>
          <w:color w:val="auto"/>
          <w:spacing w:val="7"/>
          <w:sz w:val="21"/>
          <w:szCs w:val="21"/>
          <w:highlight w:val="none"/>
          <w:lang w:val="en-US" w:eastAsia="zh-CN"/>
        </w:rPr>
        <w:t xml:space="preserve">8</w:t>
      </w:r>
      <w:r>
        <w:rPr>
          <w:rFonts w:hint="eastAsia" w:asciiTheme="minorEastAsia" w:hAnsiTheme="minorEastAsia" w:eastAsiaTheme="minorEastAsia" w:cstheme="minorEastAsia"/>
          <w:bCs/>
          <w:color w:val="auto"/>
          <w:spacing w:val="7"/>
          <w:sz w:val="21"/>
          <w:szCs w:val="21"/>
          <w:highlight w:val="none"/>
        </w:rPr>
        <w:t xml:space="preserve">分；方案较合理、针对性较强、专业性较强、思路较清晰、与</w:t>
      </w:r>
      <w:r>
        <w:rPr>
          <w:rFonts w:hint="eastAsia" w:asciiTheme="minorEastAsia" w:hAnsiTheme="minorEastAsia" w:eastAsiaTheme="minorEastAsia" w:cstheme="minorEastAsia"/>
          <w:bCs/>
          <w:color w:val="auto"/>
          <w:spacing w:val="7"/>
          <w:sz w:val="21"/>
          <w:szCs w:val="21"/>
          <w:highlight w:val="none"/>
          <w:lang w:val="en-US" w:eastAsia="zh-CN"/>
        </w:rPr>
        <w:t xml:space="preserve">招标</w:t>
      </w:r>
      <w:r>
        <w:rPr>
          <w:rFonts w:hint="eastAsia" w:asciiTheme="minorEastAsia" w:hAnsiTheme="minorEastAsia" w:eastAsiaTheme="minorEastAsia" w:cstheme="minorEastAsia"/>
          <w:bCs/>
          <w:color w:val="auto"/>
          <w:spacing w:val="7"/>
          <w:sz w:val="21"/>
          <w:szCs w:val="21"/>
          <w:highlight w:val="none"/>
        </w:rPr>
        <w:t xml:space="preserve">需求贴合度较高得</w:t>
      </w:r>
      <w:r>
        <w:rPr>
          <w:rFonts w:hint="eastAsia" w:asciiTheme="minorEastAsia" w:hAnsiTheme="minorEastAsia" w:eastAsiaTheme="minorEastAsia" w:cstheme="minorEastAsia"/>
          <w:bCs/>
          <w:color w:val="auto"/>
          <w:spacing w:val="7"/>
          <w:sz w:val="21"/>
          <w:szCs w:val="21"/>
          <w:highlight w:val="none"/>
          <w:lang w:val="en-US" w:eastAsia="zh-CN"/>
        </w:rPr>
        <w:t xml:space="preserve">5</w:t>
      </w:r>
      <w:r>
        <w:rPr>
          <w:rFonts w:hint="eastAsia" w:asciiTheme="minorEastAsia" w:hAnsiTheme="minorEastAsia" w:eastAsiaTheme="minorEastAsia" w:cstheme="minorEastAsia"/>
          <w:bCs/>
          <w:color w:val="auto"/>
          <w:spacing w:val="7"/>
          <w:sz w:val="21"/>
          <w:szCs w:val="21"/>
          <w:highlight w:val="none"/>
        </w:rPr>
        <w:t xml:space="preserve">分；方案不全面、专业性一般、思路模糊、与</w:t>
      </w:r>
      <w:r>
        <w:rPr>
          <w:rFonts w:hint="eastAsia" w:asciiTheme="minorEastAsia" w:hAnsiTheme="minorEastAsia" w:eastAsiaTheme="minorEastAsia" w:cstheme="minorEastAsia"/>
          <w:bCs/>
          <w:color w:val="auto"/>
          <w:spacing w:val="7"/>
          <w:sz w:val="21"/>
          <w:szCs w:val="21"/>
          <w:highlight w:val="none"/>
          <w:lang w:val="en-US" w:eastAsia="zh-CN"/>
        </w:rPr>
        <w:t xml:space="preserve">招标</w:t>
      </w:r>
      <w:r>
        <w:rPr>
          <w:rFonts w:hint="eastAsia" w:asciiTheme="minorEastAsia" w:hAnsiTheme="minorEastAsia" w:eastAsiaTheme="minorEastAsia" w:cstheme="minorEastAsia"/>
          <w:bCs/>
          <w:color w:val="auto"/>
          <w:spacing w:val="7"/>
          <w:sz w:val="21"/>
          <w:szCs w:val="21"/>
          <w:highlight w:val="none"/>
        </w:rPr>
        <w:t xml:space="preserve">需求贴合度一般得</w:t>
      </w:r>
      <w:r>
        <w:rPr>
          <w:rFonts w:hint="eastAsia" w:asciiTheme="minorEastAsia" w:hAnsiTheme="minorEastAsia" w:eastAsiaTheme="minorEastAsia" w:cstheme="minorEastAsia"/>
          <w:bCs/>
          <w:color w:val="auto"/>
          <w:spacing w:val="7"/>
          <w:sz w:val="21"/>
          <w:szCs w:val="21"/>
          <w:highlight w:val="none"/>
          <w:lang w:val="en-US" w:eastAsia="zh-CN"/>
        </w:rPr>
        <w:t xml:space="preserve">2</w:t>
      </w:r>
      <w:r>
        <w:rPr>
          <w:rFonts w:hint="eastAsia" w:asciiTheme="minorEastAsia" w:hAnsiTheme="minorEastAsia" w:eastAsiaTheme="minorEastAsia" w:cstheme="minorEastAsia"/>
          <w:bCs/>
          <w:color w:val="auto"/>
          <w:spacing w:val="7"/>
          <w:sz w:val="21"/>
          <w:szCs w:val="21"/>
          <w:highlight w:val="none"/>
        </w:rPr>
        <w:t xml:space="preserve">分；未提供不得分。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lang w:val="en-US" w:eastAsia="zh-CN"/>
        </w:rPr>
        <w:t xml:space="preserve">3</w:t>
      </w:r>
      <w:r>
        <w:rPr>
          <w:rFonts w:hint="eastAsia" w:asciiTheme="minorEastAsia" w:hAnsiTheme="minorEastAsia" w:eastAsiaTheme="minorEastAsia" w:cstheme="minorEastAsia"/>
          <w:bCs/>
          <w:color w:val="auto"/>
          <w:spacing w:val="7"/>
          <w:sz w:val="21"/>
          <w:szCs w:val="21"/>
          <w:highlight w:val="none"/>
          <w:lang w:eastAsia="zh-CN"/>
        </w:rPr>
        <w:t xml:space="preserve">、</w:t>
      </w:r>
      <w:r>
        <w:rPr>
          <w:rFonts w:hint="eastAsia" w:asciiTheme="minorEastAsia" w:hAnsiTheme="minorEastAsia" w:eastAsiaTheme="minorEastAsia" w:cstheme="minorEastAsia"/>
          <w:bCs/>
          <w:color w:val="auto"/>
          <w:spacing w:val="7"/>
          <w:sz w:val="21"/>
          <w:szCs w:val="21"/>
          <w:highlight w:val="none"/>
        </w:rPr>
        <w:t xml:space="preserve">系统巡检方案（</w:t>
      </w:r>
      <w:r>
        <w:rPr>
          <w:rFonts w:hint="eastAsia" w:asciiTheme="minorEastAsia" w:hAnsiTheme="minorEastAsia" w:eastAsiaTheme="minorEastAsia" w:cstheme="minorEastAsia"/>
          <w:bCs/>
          <w:color w:val="auto"/>
          <w:spacing w:val="7"/>
          <w:sz w:val="21"/>
          <w:szCs w:val="21"/>
          <w:highlight w:val="none"/>
          <w:lang w:val="en-US" w:eastAsia="zh-CN"/>
        </w:rPr>
        <w:t xml:space="preserve">8</w:t>
      </w:r>
      <w:r>
        <w:rPr>
          <w:rFonts w:hint="eastAsia" w:asciiTheme="minorEastAsia" w:hAnsiTheme="minorEastAsia" w:eastAsiaTheme="minorEastAsia" w:cstheme="minorEastAsia"/>
          <w:bCs/>
          <w:color w:val="auto"/>
          <w:spacing w:val="7"/>
          <w:sz w:val="21"/>
          <w:szCs w:val="21"/>
          <w:highlight w:val="none"/>
        </w:rPr>
        <w:t xml:space="preserve">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系统巡检方案（包括但不限于定期巡检服务内容、巡检维护台账的式样、巡检专用工具和专用车辆、依托于数字运维系统等）：方案详细、合理、科学得</w:t>
      </w:r>
      <w:r>
        <w:rPr>
          <w:rFonts w:hint="eastAsia" w:asciiTheme="minorEastAsia" w:hAnsiTheme="minorEastAsia" w:eastAsiaTheme="minorEastAsia" w:cstheme="minorEastAsia"/>
          <w:bCs/>
          <w:color w:val="auto"/>
          <w:spacing w:val="7"/>
          <w:sz w:val="21"/>
          <w:szCs w:val="21"/>
          <w:highlight w:val="none"/>
          <w:lang w:val="en-US" w:eastAsia="zh-CN"/>
        </w:rPr>
        <w:t xml:space="preserve">8</w:t>
      </w:r>
      <w:r>
        <w:rPr>
          <w:rFonts w:hint="eastAsia" w:asciiTheme="minorEastAsia" w:hAnsiTheme="minorEastAsia" w:eastAsiaTheme="minorEastAsia" w:cstheme="minorEastAsia"/>
          <w:bCs/>
          <w:color w:val="auto"/>
          <w:spacing w:val="7"/>
          <w:sz w:val="21"/>
          <w:szCs w:val="21"/>
          <w:highlight w:val="none"/>
        </w:rPr>
        <w:t xml:space="preserve">分；比较详细、合理得</w:t>
      </w:r>
      <w:r>
        <w:rPr>
          <w:rFonts w:hint="eastAsia" w:asciiTheme="minorEastAsia" w:hAnsiTheme="minorEastAsia" w:eastAsiaTheme="minorEastAsia" w:cstheme="minorEastAsia"/>
          <w:bCs/>
          <w:color w:val="auto"/>
          <w:spacing w:val="7"/>
          <w:sz w:val="21"/>
          <w:szCs w:val="21"/>
          <w:highlight w:val="none"/>
          <w:lang w:val="en-US" w:eastAsia="zh-CN"/>
        </w:rPr>
        <w:t xml:space="preserve">5</w:t>
      </w:r>
      <w:r>
        <w:rPr>
          <w:rFonts w:hint="eastAsia" w:asciiTheme="minorEastAsia" w:hAnsiTheme="minorEastAsia" w:eastAsiaTheme="minorEastAsia" w:cstheme="minorEastAsia"/>
          <w:bCs/>
          <w:color w:val="auto"/>
          <w:spacing w:val="7"/>
          <w:sz w:val="21"/>
          <w:szCs w:val="21"/>
          <w:highlight w:val="none"/>
        </w:rPr>
        <w:t xml:space="preserve">分；方案简单、不详细、合理性较差得</w:t>
      </w:r>
      <w:r>
        <w:rPr>
          <w:rFonts w:hint="eastAsia" w:asciiTheme="minorEastAsia" w:hAnsiTheme="minorEastAsia" w:eastAsiaTheme="minorEastAsia" w:cstheme="minorEastAsia"/>
          <w:bCs/>
          <w:color w:val="auto"/>
          <w:spacing w:val="7"/>
          <w:sz w:val="21"/>
          <w:szCs w:val="21"/>
          <w:highlight w:val="none"/>
          <w:lang w:val="en-US" w:eastAsia="zh-CN"/>
        </w:rPr>
        <w:t xml:space="preserve">2</w:t>
      </w:r>
      <w:r>
        <w:rPr>
          <w:rFonts w:hint="eastAsia" w:asciiTheme="minorEastAsia" w:hAnsiTheme="minorEastAsia" w:eastAsiaTheme="minorEastAsia" w:cstheme="minorEastAsia"/>
          <w:bCs/>
          <w:color w:val="auto"/>
          <w:spacing w:val="7"/>
          <w:sz w:val="21"/>
          <w:szCs w:val="21"/>
          <w:highlight w:val="none"/>
        </w:rPr>
        <w:t xml:space="preserve">分；未提供不得分。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4</w:t>
      </w:r>
      <w:r>
        <w:rPr>
          <w:rFonts w:hint="eastAsia" w:asciiTheme="minorEastAsia" w:hAnsiTheme="minorEastAsia" w:eastAsiaTheme="minorEastAsia" w:cstheme="minorEastAsia"/>
          <w:bCs/>
          <w:color w:val="auto"/>
          <w:spacing w:val="7"/>
          <w:sz w:val="21"/>
          <w:szCs w:val="21"/>
          <w:highlight w:val="none"/>
          <w:lang w:eastAsia="zh-CN"/>
        </w:rPr>
        <w:t xml:space="preserve">、</w:t>
      </w:r>
      <w:r>
        <w:rPr>
          <w:rFonts w:hint="eastAsia" w:asciiTheme="minorEastAsia" w:hAnsiTheme="minorEastAsia" w:eastAsiaTheme="minorEastAsia" w:cstheme="minorEastAsia"/>
          <w:bCs/>
          <w:color w:val="auto"/>
          <w:spacing w:val="7"/>
          <w:sz w:val="21"/>
          <w:szCs w:val="21"/>
          <w:highlight w:val="none"/>
        </w:rPr>
        <w:t xml:space="preserve">应急保障方案(</w:t>
      </w:r>
      <w:r>
        <w:rPr>
          <w:rFonts w:hint="eastAsia" w:asciiTheme="minorEastAsia" w:hAnsiTheme="minorEastAsia" w:eastAsiaTheme="minorEastAsia" w:cstheme="minorEastAsia"/>
          <w:bCs/>
          <w:color w:val="auto"/>
          <w:spacing w:val="7"/>
          <w:sz w:val="21"/>
          <w:szCs w:val="21"/>
          <w:highlight w:val="none"/>
          <w:lang w:val="en-US" w:eastAsia="zh-CN"/>
        </w:rPr>
        <w:t xml:space="preserve">6</w:t>
      </w:r>
      <w:r>
        <w:rPr>
          <w:rFonts w:hint="eastAsia" w:asciiTheme="minorEastAsia" w:hAnsiTheme="minorEastAsia" w:eastAsiaTheme="minorEastAsia" w:cstheme="minorEastAsia"/>
          <w:bCs/>
          <w:color w:val="auto"/>
          <w:spacing w:val="7"/>
          <w:sz w:val="21"/>
          <w:szCs w:val="21"/>
          <w:highlight w:val="none"/>
        </w:rPr>
        <w:t xml:space="preserve">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应急保障方案包括但不限于保障人员、保障团队、保障内容（网络保障、系统保障、应急保障措施、应急保障维护流程图、应急电源配备）：方案详细、合理、科学得</w:t>
      </w:r>
      <w:r>
        <w:rPr>
          <w:rFonts w:hint="eastAsia" w:asciiTheme="minorEastAsia" w:hAnsiTheme="minorEastAsia" w:eastAsiaTheme="minorEastAsia" w:cstheme="minorEastAsia"/>
          <w:bCs/>
          <w:color w:val="auto"/>
          <w:spacing w:val="7"/>
          <w:sz w:val="21"/>
          <w:szCs w:val="21"/>
          <w:highlight w:val="none"/>
          <w:lang w:val="en-US" w:eastAsia="zh-CN"/>
        </w:rPr>
        <w:t xml:space="preserve">6</w:t>
      </w:r>
      <w:r>
        <w:rPr>
          <w:rFonts w:hint="eastAsia" w:asciiTheme="minorEastAsia" w:hAnsiTheme="minorEastAsia" w:eastAsiaTheme="minorEastAsia" w:cstheme="minorEastAsia"/>
          <w:bCs/>
          <w:color w:val="auto"/>
          <w:spacing w:val="7"/>
          <w:sz w:val="21"/>
          <w:szCs w:val="21"/>
          <w:highlight w:val="none"/>
        </w:rPr>
        <w:t xml:space="preserve">分；方案较详细、合理得</w:t>
      </w:r>
      <w:r>
        <w:rPr>
          <w:rFonts w:hint="eastAsia" w:asciiTheme="minorEastAsia" w:hAnsiTheme="minorEastAsia" w:eastAsiaTheme="minorEastAsia" w:cstheme="minorEastAsia"/>
          <w:bCs/>
          <w:color w:val="auto"/>
          <w:spacing w:val="7"/>
          <w:sz w:val="21"/>
          <w:szCs w:val="21"/>
          <w:highlight w:val="none"/>
          <w:lang w:val="en-US" w:eastAsia="zh-CN"/>
        </w:rPr>
        <w:t xml:space="preserve">4</w:t>
      </w:r>
      <w:r>
        <w:rPr>
          <w:rFonts w:hint="eastAsia" w:asciiTheme="minorEastAsia" w:hAnsiTheme="minorEastAsia" w:eastAsiaTheme="minorEastAsia" w:cstheme="minorEastAsia"/>
          <w:bCs/>
          <w:color w:val="auto"/>
          <w:spacing w:val="7"/>
          <w:sz w:val="21"/>
          <w:szCs w:val="21"/>
          <w:highlight w:val="none"/>
        </w:rPr>
        <w:t xml:space="preserve">分；方案简单不详细、合理性差得</w:t>
      </w:r>
      <w:r>
        <w:rPr>
          <w:rFonts w:hint="eastAsia" w:asciiTheme="minorEastAsia" w:hAnsiTheme="minorEastAsia" w:eastAsiaTheme="minorEastAsia" w:cstheme="minorEastAsia"/>
          <w:bCs/>
          <w:color w:val="auto"/>
          <w:spacing w:val="7"/>
          <w:sz w:val="21"/>
          <w:szCs w:val="21"/>
          <w:highlight w:val="none"/>
          <w:lang w:val="en-US" w:eastAsia="zh-CN"/>
        </w:rPr>
        <w:t xml:space="preserve">2</w:t>
      </w:r>
      <w:r>
        <w:rPr>
          <w:rFonts w:hint="eastAsia" w:asciiTheme="minorEastAsia" w:hAnsiTheme="minorEastAsia" w:eastAsiaTheme="minorEastAsia" w:cstheme="minorEastAsia"/>
          <w:bCs/>
          <w:color w:val="auto"/>
          <w:spacing w:val="7"/>
          <w:sz w:val="21"/>
          <w:szCs w:val="21"/>
          <w:highlight w:val="none"/>
        </w:rPr>
        <w:t xml:space="preserve">分；未提供不得分。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5</w:t>
      </w:r>
      <w:r>
        <w:rPr>
          <w:rFonts w:hint="eastAsia" w:asciiTheme="minorEastAsia" w:hAnsiTheme="minorEastAsia" w:eastAsiaTheme="minorEastAsia" w:cstheme="minorEastAsia"/>
          <w:bCs/>
          <w:color w:val="auto"/>
          <w:spacing w:val="7"/>
          <w:sz w:val="21"/>
          <w:szCs w:val="21"/>
          <w:highlight w:val="none"/>
          <w:lang w:eastAsia="zh-CN"/>
        </w:rPr>
        <w:t xml:space="preserve">、</w:t>
      </w:r>
      <w:r>
        <w:rPr>
          <w:rFonts w:hint="eastAsia" w:asciiTheme="minorEastAsia" w:hAnsiTheme="minorEastAsia" w:eastAsiaTheme="minorEastAsia" w:cstheme="minorEastAsia"/>
          <w:bCs/>
          <w:color w:val="auto"/>
          <w:spacing w:val="7"/>
          <w:sz w:val="21"/>
          <w:szCs w:val="21"/>
          <w:highlight w:val="none"/>
        </w:rPr>
        <w:t xml:space="preserve">完整的服务三方框架方案（</w:t>
      </w:r>
      <w:r>
        <w:rPr>
          <w:rFonts w:hint="eastAsia" w:asciiTheme="minorEastAsia" w:hAnsiTheme="minorEastAsia" w:eastAsiaTheme="minorEastAsia" w:cstheme="minorEastAsia"/>
          <w:bCs/>
          <w:color w:val="auto"/>
          <w:spacing w:val="7"/>
          <w:sz w:val="21"/>
          <w:szCs w:val="21"/>
          <w:highlight w:val="none"/>
          <w:lang w:val="en-US" w:eastAsia="zh-CN"/>
        </w:rPr>
        <w:t xml:space="preserve">7</w:t>
      </w:r>
      <w:r>
        <w:rPr>
          <w:rFonts w:hint="eastAsia" w:asciiTheme="minorEastAsia" w:hAnsiTheme="minorEastAsia" w:eastAsiaTheme="minorEastAsia" w:cstheme="minorEastAsia"/>
          <w:bCs/>
          <w:color w:val="auto"/>
          <w:spacing w:val="7"/>
          <w:sz w:val="21"/>
          <w:szCs w:val="21"/>
          <w:highlight w:val="none"/>
        </w:rPr>
        <w:t xml:space="preserve">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具有完整的服务三方框架（以流程图形式展示服务过程中响应单位用户方、设备厂商、售后服务方的闭环故障处理服务流程。服务流程的展示包括但不限于用户的报修、综合调度中心的事故分析派发、故障的确认、一般事故、较大事故与重大事故的处理流程、售后服务负责人与设备厂商的对接工作界面、事故处理完毕后的归档及用户建议等）：方案详细、合理、科学得</w:t>
      </w:r>
      <w:r>
        <w:rPr>
          <w:rFonts w:hint="eastAsia" w:asciiTheme="minorEastAsia" w:hAnsiTheme="minorEastAsia" w:eastAsiaTheme="minorEastAsia" w:cstheme="minorEastAsia"/>
          <w:bCs/>
          <w:color w:val="auto"/>
          <w:spacing w:val="7"/>
          <w:sz w:val="21"/>
          <w:szCs w:val="21"/>
          <w:highlight w:val="none"/>
          <w:lang w:val="en-US" w:eastAsia="zh-CN"/>
        </w:rPr>
        <w:t xml:space="preserve">7</w:t>
      </w:r>
      <w:r>
        <w:rPr>
          <w:rFonts w:hint="eastAsia" w:asciiTheme="minorEastAsia" w:hAnsiTheme="minorEastAsia" w:eastAsiaTheme="minorEastAsia" w:cstheme="minorEastAsia"/>
          <w:bCs/>
          <w:color w:val="auto"/>
          <w:spacing w:val="7"/>
          <w:sz w:val="21"/>
          <w:szCs w:val="21"/>
          <w:highlight w:val="none"/>
        </w:rPr>
        <w:t xml:space="preserve">分；方案较详细、合理得</w:t>
      </w:r>
      <w:r>
        <w:rPr>
          <w:rFonts w:hint="eastAsia" w:asciiTheme="minorEastAsia" w:hAnsiTheme="minorEastAsia" w:eastAsiaTheme="minorEastAsia" w:cstheme="minorEastAsia"/>
          <w:bCs/>
          <w:color w:val="auto"/>
          <w:spacing w:val="7"/>
          <w:sz w:val="21"/>
          <w:szCs w:val="21"/>
          <w:highlight w:val="none"/>
          <w:lang w:val="en-US" w:eastAsia="zh-CN"/>
        </w:rPr>
        <w:t xml:space="preserve">4</w:t>
      </w:r>
      <w:r>
        <w:rPr>
          <w:rFonts w:hint="eastAsia" w:asciiTheme="minorEastAsia" w:hAnsiTheme="minorEastAsia" w:eastAsiaTheme="minorEastAsia" w:cstheme="minorEastAsia"/>
          <w:bCs/>
          <w:color w:val="auto"/>
          <w:spacing w:val="7"/>
          <w:sz w:val="21"/>
          <w:szCs w:val="21"/>
          <w:highlight w:val="none"/>
        </w:rPr>
        <w:t xml:space="preserve">分；方案简单、合理性差得</w:t>
      </w:r>
      <w:r>
        <w:rPr>
          <w:rFonts w:hint="eastAsia" w:asciiTheme="minorEastAsia" w:hAnsiTheme="minorEastAsia" w:eastAsiaTheme="minorEastAsia" w:cstheme="minorEastAsia"/>
          <w:bCs/>
          <w:color w:val="auto"/>
          <w:spacing w:val="7"/>
          <w:sz w:val="21"/>
          <w:szCs w:val="21"/>
          <w:highlight w:val="none"/>
          <w:lang w:val="en-US" w:eastAsia="zh-CN"/>
        </w:rPr>
        <w:t xml:space="preserve">1</w:t>
      </w:r>
      <w:r>
        <w:rPr>
          <w:rFonts w:hint="eastAsia" w:asciiTheme="minorEastAsia" w:hAnsiTheme="minorEastAsia" w:eastAsiaTheme="minorEastAsia" w:cstheme="minorEastAsia"/>
          <w:bCs/>
          <w:color w:val="auto"/>
          <w:spacing w:val="7"/>
          <w:sz w:val="21"/>
          <w:szCs w:val="21"/>
          <w:highlight w:val="none"/>
        </w:rPr>
        <w:t xml:space="preserve">分；未提供不得分。</w:t>
      </w:r>
      <w:r/>
    </w:p>
    <w:p>
      <w:pPr>
        <w:pStyle w:val="763"/>
        <w:ind w:firstLine="448"/>
        <w:spacing w:line="440" w:lineRule="exact"/>
        <w:rPr>
          <w:rFonts w:hint="eastAsia" w:asciiTheme="minorEastAsia" w:hAnsiTheme="minorEastAsia" w:eastAsiaTheme="minorEastAsia" w:cstheme="minorEastAsia"/>
          <w:b/>
          <w:bCs w:val="0"/>
          <w:color w:val="auto"/>
          <w:spacing w:val="7"/>
          <w:sz w:val="21"/>
          <w:szCs w:val="21"/>
          <w:highlight w:val="none"/>
        </w:rPr>
      </w:pPr>
      <w:r>
        <w:rPr>
          <w:rFonts w:hint="eastAsia" w:asciiTheme="minorEastAsia" w:hAnsiTheme="minorEastAsia" w:eastAsiaTheme="minorEastAsia" w:cstheme="minorEastAsia"/>
          <w:b/>
          <w:bCs w:val="0"/>
          <w:color w:val="auto"/>
          <w:spacing w:val="7"/>
          <w:sz w:val="21"/>
          <w:szCs w:val="21"/>
          <w:highlight w:val="none"/>
        </w:rPr>
        <w:t xml:space="preserve">（四）</w:t>
      </w:r>
      <w:r>
        <w:rPr>
          <w:rFonts w:hint="eastAsia" w:asciiTheme="minorEastAsia" w:hAnsiTheme="minorEastAsia" w:eastAsiaTheme="minorEastAsia" w:cstheme="minorEastAsia"/>
          <w:b/>
          <w:bCs w:val="0"/>
          <w:color w:val="auto"/>
          <w:spacing w:val="7"/>
          <w:sz w:val="21"/>
          <w:szCs w:val="21"/>
          <w:highlight w:val="none"/>
          <w:lang w:val="en-US" w:eastAsia="zh-CN"/>
        </w:rPr>
        <w:t xml:space="preserve">拟投入的项目团队</w:t>
      </w:r>
      <w:r>
        <w:rPr>
          <w:rFonts w:hint="eastAsia" w:asciiTheme="minorEastAsia" w:hAnsiTheme="minorEastAsia" w:eastAsiaTheme="minorEastAsia" w:cstheme="minorEastAsia"/>
          <w:b/>
          <w:bCs w:val="0"/>
          <w:color w:val="auto"/>
          <w:spacing w:val="7"/>
          <w:sz w:val="21"/>
          <w:szCs w:val="21"/>
          <w:highlight w:val="none"/>
        </w:rPr>
        <w:t xml:space="preserve">（</w:t>
      </w:r>
      <w:r>
        <w:rPr>
          <w:rFonts w:hint="eastAsia" w:asciiTheme="minorEastAsia" w:hAnsiTheme="minorEastAsia" w:eastAsiaTheme="minorEastAsia" w:cstheme="minorEastAsia"/>
          <w:b/>
          <w:bCs w:val="0"/>
          <w:color w:val="auto"/>
          <w:spacing w:val="7"/>
          <w:sz w:val="21"/>
          <w:szCs w:val="21"/>
          <w:highlight w:val="none"/>
          <w:lang w:val="en-US" w:eastAsia="zh-CN"/>
        </w:rPr>
        <w:t xml:space="preserve">10</w:t>
      </w:r>
      <w:r>
        <w:rPr>
          <w:rFonts w:hint="eastAsia" w:asciiTheme="minorEastAsia" w:hAnsiTheme="minorEastAsia" w:eastAsiaTheme="minorEastAsia" w:cstheme="minorEastAsia"/>
          <w:b/>
          <w:bCs w:val="0"/>
          <w:color w:val="auto"/>
          <w:spacing w:val="7"/>
          <w:sz w:val="21"/>
          <w:szCs w:val="21"/>
          <w:highlight w:val="none"/>
        </w:rPr>
        <w:t xml:space="preserve">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1、</w:t>
      </w:r>
      <w:bookmarkStart w:id="61" w:name="OLE_LINK4"/>
      <w:r>
        <w:rPr>
          <w:rFonts w:hint="eastAsia" w:asciiTheme="minorEastAsia" w:hAnsiTheme="minorEastAsia" w:eastAsiaTheme="minorEastAsia" w:cstheme="minorEastAsia"/>
          <w:bCs/>
          <w:color w:val="auto"/>
          <w:spacing w:val="7"/>
          <w:sz w:val="21"/>
          <w:szCs w:val="21"/>
          <w:highlight w:val="none"/>
        </w:rPr>
        <w:t xml:space="preserve">拟派项目经理具有信息系统项目管理师证书得1分；具备注册信息安全专业人员(CISP)得1分；具有PMP认证证书得1分</w:t>
      </w:r>
      <w:r>
        <w:rPr>
          <w:rFonts w:hint="eastAsia" w:asciiTheme="minorEastAsia" w:hAnsiTheme="minorEastAsia" w:eastAsiaTheme="minorEastAsia" w:cstheme="minorEastAsia"/>
          <w:bCs/>
          <w:color w:val="auto"/>
          <w:spacing w:val="7"/>
          <w:sz w:val="21"/>
          <w:szCs w:val="21"/>
          <w:highlight w:val="none"/>
          <w:lang w:eastAsia="zh-CN"/>
        </w:rPr>
        <w:t xml:space="preserve">；</w:t>
      </w:r>
      <w:r>
        <w:rPr>
          <w:rFonts w:hint="eastAsia" w:asciiTheme="minorEastAsia" w:hAnsiTheme="minorEastAsia" w:eastAsiaTheme="minorEastAsia" w:cstheme="minorEastAsia"/>
          <w:bCs/>
          <w:color w:val="auto"/>
          <w:spacing w:val="7"/>
          <w:sz w:val="21"/>
          <w:szCs w:val="21"/>
          <w:highlight w:val="none"/>
        </w:rPr>
        <w:t xml:space="preserve">本项最高得</w:t>
      </w:r>
      <w:r>
        <w:rPr>
          <w:rFonts w:hint="eastAsia" w:asciiTheme="minorEastAsia" w:hAnsiTheme="minorEastAsia" w:eastAsiaTheme="minorEastAsia" w:cstheme="minorEastAsia"/>
          <w:bCs/>
          <w:color w:val="auto"/>
          <w:spacing w:val="7"/>
          <w:sz w:val="21"/>
          <w:szCs w:val="21"/>
          <w:highlight w:val="none"/>
          <w:lang w:val="en-US" w:eastAsia="zh-CN"/>
        </w:rPr>
        <w:t xml:space="preserve">3</w:t>
      </w:r>
      <w:r>
        <w:rPr>
          <w:rFonts w:hint="eastAsia" w:asciiTheme="minorEastAsia" w:hAnsiTheme="minorEastAsia" w:eastAsiaTheme="minorEastAsia" w:cstheme="minorEastAsia"/>
          <w:bCs/>
          <w:color w:val="auto"/>
          <w:spacing w:val="7"/>
          <w:sz w:val="21"/>
          <w:szCs w:val="21"/>
          <w:highlight w:val="none"/>
        </w:rPr>
        <w:t xml:space="preserve">分</w:t>
      </w:r>
      <w:bookmarkEnd w:id="61"/>
      <w:r>
        <w:rPr>
          <w:rFonts w:hint="eastAsia" w:asciiTheme="minorEastAsia" w:hAnsiTheme="minorEastAsia" w:eastAsiaTheme="minorEastAsia" w:cstheme="minorEastAsia"/>
          <w:bCs/>
          <w:color w:val="auto"/>
          <w:spacing w:val="7"/>
          <w:sz w:val="21"/>
          <w:szCs w:val="21"/>
          <w:highlight w:val="none"/>
        </w:rPr>
        <w:t xml:space="preserve">。</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2、拟派项目技术负责人具备计算机技术与软件专业技术资格-信息系统项目管理师证书</w:t>
      </w:r>
      <w:r>
        <w:rPr>
          <w:rFonts w:hint="eastAsia" w:asciiTheme="minorEastAsia" w:hAnsiTheme="minorEastAsia" w:eastAsiaTheme="minorEastAsia" w:cstheme="minorEastAsia"/>
          <w:bCs/>
          <w:color w:val="auto"/>
          <w:spacing w:val="7"/>
          <w:sz w:val="21"/>
          <w:szCs w:val="21"/>
          <w:highlight w:val="none"/>
          <w:lang w:val="en-US" w:eastAsia="zh-CN"/>
        </w:rPr>
        <w:t xml:space="preserve">得1分；</w:t>
      </w:r>
      <w:r>
        <w:rPr>
          <w:rFonts w:hint="eastAsia" w:asciiTheme="minorEastAsia" w:hAnsiTheme="minorEastAsia" w:eastAsiaTheme="minorEastAsia" w:cstheme="minorEastAsia"/>
          <w:bCs/>
          <w:color w:val="auto"/>
          <w:spacing w:val="7"/>
          <w:sz w:val="21"/>
          <w:szCs w:val="21"/>
          <w:highlight w:val="none"/>
        </w:rPr>
        <w:t xml:space="preserve">具备注册信息安全专业人员(CISP)</w:t>
      </w:r>
      <w:r>
        <w:rPr>
          <w:rFonts w:hint="eastAsia" w:asciiTheme="minorEastAsia" w:hAnsiTheme="minorEastAsia" w:eastAsiaTheme="minorEastAsia" w:cstheme="minorEastAsia"/>
          <w:bCs/>
          <w:color w:val="auto"/>
          <w:spacing w:val="7"/>
          <w:sz w:val="21"/>
          <w:szCs w:val="21"/>
          <w:highlight w:val="none"/>
          <w:lang w:val="en-US" w:eastAsia="zh-CN"/>
        </w:rPr>
        <w:t xml:space="preserve">得1分；</w:t>
      </w:r>
      <w:r>
        <w:rPr>
          <w:rFonts w:hint="eastAsia" w:asciiTheme="minorEastAsia" w:hAnsiTheme="minorEastAsia" w:eastAsiaTheme="minorEastAsia" w:cstheme="minorEastAsia"/>
          <w:bCs/>
          <w:color w:val="auto"/>
          <w:spacing w:val="7"/>
          <w:sz w:val="21"/>
          <w:szCs w:val="21"/>
          <w:highlight w:val="none"/>
        </w:rPr>
        <w:t xml:space="preserve">本项最高得2分。</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3、实施团队成员（项目经理和项目技术负责人除外）：</w:t>
      </w:r>
      <w:r/>
    </w:p>
    <w:p>
      <w:pPr>
        <w:pStyle w:val="763"/>
        <w:ind w:firstLine="448"/>
        <w:spacing w:line="440" w:lineRule="exact"/>
        <w:rPr>
          <w:rFonts w:hint="eastAsia" w:asciiTheme="minorEastAsia" w:hAnsiTheme="minorEastAsia" w:eastAsiaTheme="minorEastAsia" w:cstheme="minorEastAsia"/>
          <w:bCs/>
          <w:color w:val="auto"/>
          <w:spacing w:val="7"/>
          <w:sz w:val="21"/>
          <w:szCs w:val="21"/>
          <w:highlight w:val="none"/>
        </w:rPr>
      </w:pPr>
      <w:r>
        <w:rPr>
          <w:rFonts w:hint="eastAsia" w:asciiTheme="minorEastAsia" w:hAnsiTheme="minorEastAsia" w:eastAsiaTheme="minorEastAsia" w:cstheme="minorEastAsia"/>
          <w:bCs/>
          <w:color w:val="auto"/>
          <w:spacing w:val="7"/>
          <w:sz w:val="21"/>
          <w:szCs w:val="21"/>
          <w:highlight w:val="none"/>
        </w:rPr>
        <w:t xml:space="preserve">实施团队成员</w:t>
      </w:r>
      <w:r>
        <w:rPr>
          <w:rFonts w:hint="eastAsia" w:asciiTheme="minorEastAsia" w:hAnsiTheme="minorEastAsia" w:eastAsiaTheme="minorEastAsia" w:cstheme="minorEastAsia"/>
          <w:bCs/>
          <w:color w:val="auto"/>
          <w:spacing w:val="7"/>
          <w:sz w:val="21"/>
          <w:szCs w:val="21"/>
          <w:highlight w:val="none"/>
          <w:lang w:val="en-US" w:eastAsia="zh-CN"/>
        </w:rPr>
        <w:t xml:space="preserve">中具有</w:t>
      </w:r>
      <w:r>
        <w:rPr>
          <w:rFonts w:hint="eastAsia" w:asciiTheme="minorEastAsia" w:hAnsiTheme="minorEastAsia" w:eastAsiaTheme="minorEastAsia" w:cstheme="minorEastAsia"/>
          <w:bCs/>
          <w:color w:val="auto"/>
          <w:spacing w:val="7"/>
          <w:sz w:val="21"/>
          <w:szCs w:val="21"/>
          <w:highlight w:val="none"/>
        </w:rPr>
        <w:t xml:space="preserve">信息系统项目管理师证书</w:t>
      </w:r>
      <w:r>
        <w:rPr>
          <w:rFonts w:hint="eastAsia" w:asciiTheme="minorEastAsia" w:hAnsiTheme="minorEastAsia" w:eastAsiaTheme="minorEastAsia" w:cstheme="minorEastAsia"/>
          <w:bCs/>
          <w:color w:val="auto"/>
          <w:spacing w:val="7"/>
          <w:sz w:val="21"/>
          <w:szCs w:val="21"/>
          <w:highlight w:val="none"/>
          <w:lang w:eastAsia="zh-CN"/>
        </w:rPr>
        <w:t xml:space="preserve">、</w:t>
      </w:r>
      <w:r>
        <w:rPr>
          <w:rFonts w:hint="eastAsia" w:asciiTheme="minorEastAsia" w:hAnsiTheme="minorEastAsia" w:eastAsiaTheme="minorEastAsia" w:cstheme="minorEastAsia"/>
          <w:bCs/>
          <w:color w:val="auto"/>
          <w:spacing w:val="7"/>
          <w:sz w:val="21"/>
          <w:szCs w:val="21"/>
          <w:highlight w:val="none"/>
        </w:rPr>
        <w:t xml:space="preserve">HCSP架构师证书</w:t>
      </w:r>
      <w:r>
        <w:rPr>
          <w:rFonts w:hint="eastAsia" w:asciiTheme="minorEastAsia" w:hAnsiTheme="minorEastAsia" w:eastAsiaTheme="minorEastAsia" w:cstheme="minorEastAsia"/>
          <w:bCs/>
          <w:color w:val="auto"/>
          <w:spacing w:val="7"/>
          <w:sz w:val="21"/>
          <w:szCs w:val="21"/>
          <w:highlight w:val="none"/>
          <w:lang w:eastAsia="zh-CN"/>
        </w:rPr>
        <w:t xml:space="preserve">、</w:t>
      </w:r>
      <w:r>
        <w:rPr>
          <w:rFonts w:hint="eastAsia" w:asciiTheme="minorEastAsia" w:hAnsiTheme="minorEastAsia" w:eastAsiaTheme="minorEastAsia" w:cstheme="minorEastAsia"/>
          <w:bCs/>
          <w:color w:val="auto"/>
          <w:spacing w:val="7"/>
          <w:sz w:val="21"/>
          <w:szCs w:val="21"/>
          <w:highlight w:val="none"/>
        </w:rPr>
        <w:t xml:space="preserve">网络工程师</w:t>
      </w:r>
      <w:r>
        <w:rPr>
          <w:rFonts w:hint="eastAsia" w:asciiTheme="minorEastAsia" w:hAnsiTheme="minorEastAsia" w:eastAsiaTheme="minorEastAsia" w:cstheme="minorEastAsia"/>
          <w:bCs/>
          <w:color w:val="auto"/>
          <w:spacing w:val="7"/>
          <w:sz w:val="21"/>
          <w:szCs w:val="21"/>
          <w:highlight w:val="none"/>
          <w:lang w:eastAsia="zh-CN"/>
        </w:rPr>
        <w:t xml:space="preserve">、IT服务工程师证书、高级网络规划设计师的</w:t>
      </w:r>
      <w:bookmarkStart w:id="62" w:name="_GoBack"/>
      <w:r/>
      <w:bookmarkEnd w:id="62"/>
      <w:r>
        <w:rPr>
          <w:rFonts w:hint="eastAsia" w:asciiTheme="minorEastAsia" w:hAnsiTheme="minorEastAsia" w:eastAsiaTheme="minorEastAsia" w:cstheme="minorEastAsia"/>
          <w:bCs/>
          <w:color w:val="auto"/>
          <w:spacing w:val="7"/>
          <w:sz w:val="21"/>
          <w:szCs w:val="21"/>
          <w:highlight w:val="none"/>
          <w:lang w:eastAsia="zh-CN"/>
        </w:rPr>
        <w:t xml:space="preserve">，每提供一个证书</w:t>
      </w:r>
      <w:r>
        <w:rPr>
          <w:rFonts w:hint="eastAsia" w:asciiTheme="minorEastAsia" w:hAnsiTheme="minorEastAsia" w:eastAsiaTheme="minorEastAsia" w:cstheme="minorEastAsia"/>
          <w:bCs/>
          <w:color w:val="auto"/>
          <w:spacing w:val="7"/>
          <w:sz w:val="21"/>
          <w:szCs w:val="21"/>
          <w:highlight w:val="none"/>
          <w:lang w:val="en-US" w:eastAsia="zh-CN"/>
        </w:rPr>
        <w:t xml:space="preserve">得</w:t>
      </w:r>
      <w:r>
        <w:rPr>
          <w:rFonts w:hint="eastAsia" w:asciiTheme="minorEastAsia" w:hAnsiTheme="minorEastAsia" w:eastAsiaTheme="minorEastAsia" w:cstheme="minorEastAsia"/>
          <w:bCs/>
          <w:color w:val="auto"/>
          <w:spacing w:val="7"/>
          <w:sz w:val="21"/>
          <w:szCs w:val="21"/>
          <w:highlight w:val="none"/>
          <w:lang w:eastAsia="zh-CN"/>
        </w:rPr>
        <w:t xml:space="preserve">1分，</w:t>
      </w:r>
      <w:r>
        <w:rPr>
          <w:rFonts w:hint="eastAsia" w:asciiTheme="minorEastAsia" w:hAnsiTheme="minorEastAsia" w:eastAsiaTheme="minorEastAsia" w:cstheme="minorEastAsia"/>
          <w:bCs/>
          <w:color w:val="auto"/>
          <w:spacing w:val="7"/>
          <w:sz w:val="21"/>
          <w:szCs w:val="21"/>
          <w:highlight w:val="none"/>
          <w:lang w:val="en-US" w:eastAsia="zh-CN"/>
        </w:rPr>
        <w:t xml:space="preserve">本项</w:t>
      </w:r>
      <w:r>
        <w:rPr>
          <w:rFonts w:hint="eastAsia" w:asciiTheme="minorEastAsia" w:hAnsiTheme="minorEastAsia" w:eastAsiaTheme="minorEastAsia" w:cstheme="minorEastAsia"/>
          <w:bCs/>
          <w:color w:val="auto"/>
          <w:spacing w:val="7"/>
          <w:sz w:val="21"/>
          <w:szCs w:val="21"/>
          <w:highlight w:val="none"/>
          <w:lang w:eastAsia="zh-CN"/>
        </w:rPr>
        <w:t xml:space="preserve">最高得5分</w:t>
      </w:r>
      <w:r>
        <w:rPr>
          <w:rFonts w:hint="eastAsia" w:asciiTheme="minorEastAsia" w:hAnsiTheme="minorEastAsia" w:eastAsiaTheme="minorEastAsia" w:cstheme="minorEastAsia"/>
          <w:bCs/>
          <w:color w:val="auto"/>
          <w:spacing w:val="7"/>
          <w:sz w:val="21"/>
          <w:szCs w:val="21"/>
          <w:highlight w:val="none"/>
        </w:rPr>
        <w:t xml:space="preserve">（同一人员最多提供一个证书，不重复得分）。</w:t>
      </w:r>
      <w:r/>
    </w:p>
    <w:p>
      <w:pPr>
        <w:ind w:left="0" w:firstLine="527"/>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注：以上1-3项投标文件中需提供对应人员证书、证明材料复印件以及同时提供社保机构出具的</w:t>
      </w:r>
      <w:r>
        <w:rPr>
          <w:rFonts w:hint="eastAsia" w:asciiTheme="minorEastAsia" w:hAnsiTheme="minorEastAsia" w:eastAsiaTheme="minorEastAsia" w:cstheme="minorEastAsia"/>
          <w:b/>
          <w:bCs/>
          <w:sz w:val="21"/>
          <w:szCs w:val="21"/>
          <w:highlight w:val="none"/>
          <w:lang w:val="en-US" w:eastAsia="zh-CN"/>
        </w:rPr>
        <w:t xml:space="preserve">近期</w:t>
      </w:r>
      <w:r>
        <w:rPr>
          <w:rFonts w:hint="eastAsia" w:asciiTheme="minorEastAsia" w:hAnsiTheme="minorEastAsia" w:eastAsiaTheme="minorEastAsia" w:cstheme="minorEastAsia"/>
          <w:b/>
          <w:bCs/>
          <w:sz w:val="21"/>
          <w:szCs w:val="21"/>
          <w:highlight w:val="none"/>
        </w:rPr>
        <w:t xml:space="preserve">投标申请人为其缴纳的社保缴费证明【加盖社保公章或具有可验证的二维码（或验证码）】复印件，并加盖投标单位公章；未按要求提供或未提供不得分。</w:t>
      </w:r>
      <w:r/>
    </w:p>
    <w:p>
      <w:pPr>
        <w:ind w:left="0" w:firstLine="527"/>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w:t>
      </w:r>
      <w:r>
        <w:rPr>
          <w:rFonts w:hint="eastAsia" w:asciiTheme="minorEastAsia" w:hAnsiTheme="minorEastAsia" w:eastAsiaTheme="minorEastAsia" w:cstheme="minorEastAsia"/>
          <w:b/>
          <w:bCs/>
          <w:sz w:val="21"/>
          <w:szCs w:val="21"/>
          <w:highlight w:val="none"/>
          <w:lang w:val="en-US" w:eastAsia="zh-CN"/>
        </w:rPr>
        <w:t xml:space="preserve">五</w:t>
      </w:r>
      <w:r>
        <w:rPr>
          <w:rFonts w:hint="eastAsia" w:asciiTheme="minorEastAsia" w:hAnsiTheme="minorEastAsia" w:eastAsiaTheme="minorEastAsia" w:cstheme="minorEastAsia"/>
          <w:b/>
          <w:bCs/>
          <w:sz w:val="21"/>
          <w:szCs w:val="21"/>
          <w:highlight w:val="none"/>
        </w:rPr>
        <w:t xml:space="preserve">）履约能力（</w:t>
      </w:r>
      <w:r>
        <w:rPr>
          <w:rFonts w:hint="eastAsia" w:asciiTheme="minorEastAsia" w:hAnsiTheme="minorEastAsia" w:eastAsiaTheme="minorEastAsia" w:cstheme="minorEastAsia"/>
          <w:b/>
          <w:bCs/>
          <w:sz w:val="21"/>
          <w:szCs w:val="21"/>
          <w:highlight w:val="none"/>
          <w:lang w:val="en-US" w:eastAsia="zh-CN"/>
        </w:rPr>
        <w:t xml:space="preserve">9</w:t>
      </w:r>
      <w:r>
        <w:rPr>
          <w:rFonts w:hint="eastAsia" w:asciiTheme="minorEastAsia" w:hAnsiTheme="minorEastAsia" w:eastAsiaTheme="minorEastAsia" w:cstheme="minorEastAsia"/>
          <w:b/>
          <w:bCs/>
          <w:sz w:val="21"/>
          <w:szCs w:val="21"/>
          <w:highlight w:val="none"/>
        </w:rPr>
        <w:t xml:space="preserve">分）</w:t>
      </w:r>
      <w:r/>
    </w:p>
    <w:p>
      <w:pPr>
        <w:ind w:left="0" w:firstLine="525"/>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1、供应商具有有效期内信息安全服务资质认证证书、售后服务能力认证证书、企业诚信管理体系认证证书，每提供一个得1分，最高得3分。</w:t>
      </w:r>
      <w:r/>
    </w:p>
    <w:p>
      <w:pPr>
        <w:ind w:left="0" w:firstLine="525"/>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注：投标文件中需提供以上相关证书复印件或网络查询截图，并加盖投标单位公章；未按要求提供或未提供不得分。</w:t>
      </w:r>
      <w:r/>
    </w:p>
    <w:p>
      <w:pPr>
        <w:ind w:left="0" w:firstLine="525"/>
        <w:spacing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lang w:val="zh-CN"/>
        </w:rPr>
        <w:t xml:space="preserve">、投标人提供自2022年1月1日以来独立承接且已通过竣工验收的道路交通智能化类似</w:t>
      </w:r>
      <w:r>
        <w:rPr>
          <w:rFonts w:hint="eastAsia" w:asciiTheme="minorEastAsia" w:hAnsiTheme="minorEastAsia" w:eastAsiaTheme="minorEastAsia" w:cstheme="minorEastAsia"/>
          <w:sz w:val="21"/>
          <w:szCs w:val="21"/>
          <w:highlight w:val="none"/>
          <w:lang w:val="en-US" w:eastAsia="zh-CN"/>
        </w:rPr>
        <w:t xml:space="preserve">项目</w:t>
      </w:r>
      <w:r>
        <w:rPr>
          <w:rFonts w:hint="eastAsia" w:asciiTheme="minorEastAsia" w:hAnsiTheme="minorEastAsia" w:eastAsiaTheme="minorEastAsia" w:cstheme="minorEastAsia"/>
          <w:sz w:val="21"/>
          <w:szCs w:val="21"/>
          <w:highlight w:val="none"/>
          <w:lang w:val="zh-CN"/>
        </w:rPr>
        <w:t xml:space="preserve">业绩（业绩可查），每提供一份业绩得</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lang w:val="zh-CN"/>
        </w:rPr>
        <w:t xml:space="preserve">分，本项最高得分</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lang w:val="zh-CN"/>
        </w:rPr>
        <w:t xml:space="preserve">分。</w:t>
      </w:r>
      <w:r/>
    </w:p>
    <w:p>
      <w:pPr>
        <w:ind w:left="0" w:firstLine="527"/>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lang w:val="zh-CN"/>
        </w:rPr>
        <w:t xml:space="preserve">注：业绩的时间以合同签订时间为准，投标文件中应同时提供合同（主要内容、标的、数量、金额等需清晰可见）材料原件扫描件，验收报告。</w:t>
      </w:r>
      <w:r/>
    </w:p>
    <w:p>
      <w:pPr>
        <w:pStyle w:val="753"/>
        <w:jc w:val="right"/>
        <w:rPr>
          <w:rFonts w:hint="eastAsia" w:eastAsiaTheme="minorEastAsia"/>
          <w:lang w:eastAsia="zh-CN"/>
        </w:rPr>
      </w:pPr>
      <w:r>
        <w:rPr>
          <w:rFonts w:hint="eastAsia" w:asciiTheme="minorEastAsia" w:hAnsiTheme="minorEastAsia" w:eastAsiaTheme="minorEastAsia" w:cstheme="minorEastAsia"/>
          <w:b w:val="0"/>
          <w:bCs w:val="0"/>
          <w:sz w:val="21"/>
          <w:szCs w:val="21"/>
          <w:highlight w:val="none"/>
          <w:lang w:eastAsia="zh-CN"/>
        </w:rPr>
        <w:t xml:space="preserve">（</w:t>
      </w:r>
      <w:r>
        <w:rPr>
          <w:rFonts w:hint="eastAsia" w:asciiTheme="minorEastAsia" w:hAnsiTheme="minorEastAsia" w:eastAsiaTheme="minorEastAsia" w:cstheme="minorEastAsia"/>
          <w:b w:val="0"/>
          <w:bCs w:val="0"/>
          <w:sz w:val="21"/>
          <w:szCs w:val="21"/>
          <w:highlight w:val="none"/>
          <w:lang w:val="en-US" w:eastAsia="zh-CN"/>
        </w:rPr>
        <w:t xml:space="preserve">全文完</w:t>
      </w:r>
      <w:r>
        <w:rPr>
          <w:rFonts w:hint="eastAsia" w:asciiTheme="minorEastAsia" w:hAnsiTheme="minorEastAsia" w:eastAsiaTheme="minorEastAsia" w:cstheme="minorEastAsia"/>
          <w:b w:val="0"/>
          <w:bCs w:val="0"/>
          <w:sz w:val="21"/>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first" r:id="rId9"/>
      <w:footerReference w:type="default" r:id="rId10"/>
      <w:footerReference w:type="even" r:id="rId11"/>
      <w:footerReference w:type="first" r:id="rId12"/>
      <w:footnotePr/>
      <w:endnotePr/>
      <w:type w:val="nextPage"/>
      <w:pgSz w:w="11906" w:h="16838" w:orient="portrait"/>
      <w:pgMar w:top="1077" w:right="1440" w:bottom="1077" w:left="1440" w:header="851"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SimSun">
    <w:panose1 w:val="02010600030101010101"/>
  </w:font>
  <w:font w:name="宋体">
    <w:panose1 w:val="02010600030101010101"/>
  </w:font>
  <w:font w:name="楷体_GB2312">
    <w:panose1 w:val="0201060906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ascii="楷体" w:hAnsi="楷体" w:eastAsia="楷体"/>
      </w:rPr>
      <w:pBdr>
        <w:top w:val="none" w:color="auto"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rPr>
                              <w:rFonts w:hint="eastAsia" w:eastAsia="楷体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rPr>
                        <w:rFonts w:hint="eastAsia" w:eastAsia="楷体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516237863"/>
                            <w:docPartObj>
                              <w:docPartGallery w:val="autotext"/>
                            </w:docPartObj>
                            <w:rPr/>
                          </w:sdtPr>
                          <w:sdtContent>
                            <w:p>
                              <w:pPr>
                                <w:pStyle w:val="744"/>
                                <w:jc w:val="center"/>
                              </w:pPr>
                              <w:r/>
                              <w:r/>
                            </w:p>
                          </w:sdtContent>
                        </w:sdt>
                        <w:p>
                          <w:pPr>
                            <w:pStyle w:val="741"/>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516237863"/>
                      <w:docPartObj>
                        <w:docPartGallery w:val="autotext"/>
                      </w:docPartObj>
                      <w:rPr/>
                    </w:sdtPr>
                    <w:sdtContent>
                      <w:p>
                        <w:pPr>
                          <w:pStyle w:val="744"/>
                          <w:jc w:val="center"/>
                        </w:pPr>
                        <w:r/>
                        <w:r/>
                      </w:p>
                    </w:sdtContent>
                  </w:sdt>
                  <w:p>
                    <w:pPr>
                      <w:pStyle w:val="74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49"/>
      </w:rPr>
      <w:framePr w:wrap="around" w:vAnchor="text" w:hAnchor="margin" w:xAlign="right" w:y="1"/>
    </w:pPr>
    <w:r>
      <w:fldChar w:fldCharType="begin"/>
    </w:r>
    <w:r>
      <w:rPr>
        <w:rStyle w:val="749"/>
      </w:rPr>
      <w:instrText xml:space="preserve">PAGE  </w:instrText>
    </w:r>
    <w:r>
      <w:fldChar w:fldCharType="end"/>
    </w:r>
    <w:r/>
  </w:p>
  <w:p>
    <w:pPr>
      <w:pStyle w:val="74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rPr>
                              <w:rFonts w:hint="eastAsia" w:eastAsia="楷体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rPr>
                        <w:rFonts w:hint="eastAsia" w:eastAsia="楷体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420" w:hanging="420"/>
        <w:tabs>
          <w:tab w:val="left" w:pos="420" w:leader="none"/>
        </w:tabs>
      </w:pPr>
      <w:rPr>
        <w:rFonts w:hint="default"/>
        <w:b/>
      </w:rPr>
    </w:lvl>
    <w:lvl w:ilvl="1">
      <w:start w:val="2"/>
      <w:numFmt w:val="decimal"/>
      <w:isLgl w:val="false"/>
      <w:suff w:val="tab"/>
      <w:lvlText w:val="%2．"/>
      <w:lvlJc w:val="left"/>
      <w:pPr>
        <w:ind w:left="780" w:hanging="360"/>
        <w:tabs>
          <w:tab w:val="left" w:pos="780" w:leader="none"/>
        </w:tabs>
      </w:pPr>
      <w:rPr>
        <w:rFonts w:hint="default"/>
      </w:rPr>
    </w:lvl>
    <w:lvl w:ilvl="2">
      <w:start w:val="1"/>
      <w:numFmt w:val="decimal"/>
      <w:isLgl w:val="false"/>
      <w:suff w:val="tab"/>
      <w:lvlText w:val="（%3）"/>
      <w:lvlJc w:val="left"/>
      <w:pPr>
        <w:ind w:left="1560" w:hanging="720"/>
        <w:tabs>
          <w:tab w:val="left" w:pos="1560" w:leader="none"/>
        </w:tabs>
      </w:pPr>
      <w:rPr>
        <w:rFonts w:hint="default"/>
        <w:lang w:val="en-US"/>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1134" w:hanging="567"/>
        <w:tabs>
          <w:tab w:val="left" w:pos="1134"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35"/>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35"/>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35"/>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35"/>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5"/>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5"/>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5"/>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5"/>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5"/>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735"/>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735"/>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5"/>
    <w:link w:val="745"/>
    <w:uiPriority w:val="99"/>
  </w:style>
  <w:style w:type="character" w:styleId="44">
    <w:name w:val="Footer Char"/>
    <w:basedOn w:val="735"/>
    <w:link w:val="744"/>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744"/>
    <w:uiPriority w:val="99"/>
  </w:style>
  <w:style w:type="table" w:styleId="48">
    <w:name w:val="Table Grid Light"/>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5"/>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5"/>
    <w:uiPriority w:val="99"/>
    <w:semiHidden/>
    <w:unhideWhenUsed/>
    <w:rPr>
      <w:vertAlign w:val="superscript"/>
    </w:r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7"/>
    <w:uiPriority w:val="0"/>
    <w:qFormat/>
    <w:pPr>
      <w:jc w:val="both"/>
      <w:widowControl w:val="off"/>
    </w:pPr>
    <w:rPr>
      <w:rFonts w:ascii="Times New Roman" w:hAnsi="Times New Roman" w:eastAsia="楷体_GB2312" w:cs="Times New Roman"/>
      <w:sz w:val="28"/>
      <w:lang w:val="en-US" w:eastAsia="zh-CN" w:bidi="ar-SA"/>
    </w:rPr>
  </w:style>
  <w:style w:type="character" w:styleId="735" w:default="1">
    <w:name w:val="Default Paragraph Font"/>
    <w:uiPriority w:val="0"/>
    <w:semiHidden/>
    <w:qFormat/>
  </w:style>
  <w:style w:type="table" w:styleId="736" w:default="1">
    <w:name w:val="Normal Table"/>
    <w:uiPriority w:val="0"/>
    <w:semiHidden/>
    <w:qFormat/>
    <w:tblPr>
      <w:tblLayout w:type="fixed"/>
      <w:tblCellMar>
        <w:left w:w="108" w:type="dxa"/>
        <w:top w:w="0" w:type="dxa"/>
        <w:right w:w="108" w:type="dxa"/>
        <w:bottom w:w="0" w:type="dxa"/>
      </w:tblCellMar>
    </w:tblPr>
  </w:style>
  <w:style w:type="paragraph" w:styleId="737" w:customStyle="1">
    <w:name w:val="段"/>
    <w:next w:val="734"/>
    <w:uiPriority w:val="0"/>
    <w:qFormat/>
    <w:pPr>
      <w:ind w:firstLine="200"/>
      <w:jc w:val="both"/>
    </w:pPr>
    <w:rPr>
      <w:rFonts w:hint="default" w:ascii="宋体" w:hAnsi="Times New Roman" w:eastAsia="Times New Roman" w:cs="Times New Roman"/>
      <w:sz w:val="21"/>
    </w:rPr>
  </w:style>
  <w:style w:type="paragraph" w:styleId="738">
    <w:name w:val="Normal Indent"/>
    <w:basedOn w:val="734"/>
    <w:next w:val="734"/>
    <w:uiPriority w:val="0"/>
    <w:qFormat/>
    <w:pPr>
      <w:ind w:firstLine="420"/>
      <w:jc w:val="left"/>
    </w:pPr>
    <w:rPr>
      <w:sz w:val="24"/>
    </w:rPr>
  </w:style>
  <w:style w:type="paragraph" w:styleId="739">
    <w:name w:val="annotation text"/>
    <w:basedOn w:val="734"/>
    <w:uiPriority w:val="99"/>
    <w:qFormat/>
    <w:pPr>
      <w:jc w:val="left"/>
    </w:pPr>
  </w:style>
  <w:style w:type="paragraph" w:styleId="740">
    <w:name w:val="Body Text"/>
    <w:basedOn w:val="734"/>
    <w:next w:val="738"/>
    <w:uiPriority w:val="0"/>
    <w:qFormat/>
    <w:pPr>
      <w:jc w:val="left"/>
      <w:spacing w:line="360" w:lineRule="auto"/>
      <w:widowControl/>
    </w:pPr>
    <w:rPr>
      <w:rFonts w:eastAsia="宋体"/>
      <w:sz w:val="24"/>
    </w:rPr>
  </w:style>
  <w:style w:type="paragraph" w:styleId="741">
    <w:name w:val="Body Text Indent"/>
    <w:basedOn w:val="734"/>
    <w:next w:val="742"/>
    <w:uiPriority w:val="0"/>
    <w:qFormat/>
    <w:pPr>
      <w:ind w:left="420"/>
      <w:spacing w:after="120"/>
    </w:pPr>
  </w:style>
  <w:style w:type="paragraph" w:styleId="742">
    <w:name w:val="envelope return"/>
    <w:basedOn w:val="734"/>
    <w:uiPriority w:val="0"/>
    <w:qFormat/>
    <w:rPr>
      <w:rFonts w:ascii="Arial" w:hAnsi="Arial"/>
      <w:sz w:val="26"/>
    </w:rPr>
  </w:style>
  <w:style w:type="paragraph" w:styleId="743">
    <w:name w:val="Plain Text"/>
    <w:basedOn w:val="734"/>
    <w:uiPriority w:val="0"/>
    <w:qFormat/>
    <w:rPr>
      <w:rFonts w:ascii="宋体" w:hAnsi="Courier New"/>
    </w:rPr>
  </w:style>
  <w:style w:type="paragraph" w:styleId="744">
    <w:name w:val="Footer"/>
    <w:basedOn w:val="734"/>
    <w:uiPriority w:val="99"/>
    <w:qFormat/>
    <w:pPr>
      <w:jc w:val="left"/>
      <w:tabs>
        <w:tab w:val="center" w:pos="4153" w:leader="none"/>
        <w:tab w:val="right" w:pos="8306" w:leader="none"/>
      </w:tabs>
    </w:pPr>
    <w:rPr>
      <w:sz w:val="18"/>
      <w:szCs w:val="18"/>
    </w:rPr>
  </w:style>
  <w:style w:type="paragraph" w:styleId="745">
    <w:name w:val="Header"/>
    <w:basedOn w:val="734"/>
    <w:uiPriority w:val="99"/>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34"/>
    <w:next w:val="734"/>
    <w:uiPriority w:val="39"/>
    <w:qFormat/>
    <w:pPr>
      <w:jc w:val="both"/>
      <w:spacing w:line="360" w:lineRule="auto"/>
      <w:widowControl w:val="off"/>
      <w:tabs>
        <w:tab w:val="right" w:pos="9006" w:leader="dot"/>
      </w:tabs>
    </w:pPr>
    <w:rPr>
      <w:rFonts w:ascii="宋体" w:hAnsi="宋体" w:eastAsia="宋体" w:cs="Times New Roman"/>
      <w:color w:val="000000"/>
      <w:sz w:val="24"/>
      <w:szCs w:val="24"/>
      <w:lang w:val="en-US" w:eastAsia="zh-CN" w:bidi="ar-SA"/>
    </w:rPr>
  </w:style>
  <w:style w:type="paragraph" w:styleId="747">
    <w:name w:val="Body Text Indent 3"/>
    <w:basedOn w:val="734"/>
    <w:uiPriority w:val="99"/>
    <w:qFormat/>
    <w:pPr>
      <w:ind w:left="420"/>
      <w:spacing w:after="120"/>
    </w:pPr>
    <w:rPr>
      <w:sz w:val="16"/>
      <w:szCs w:val="16"/>
    </w:rPr>
  </w:style>
  <w:style w:type="paragraph" w:styleId="748">
    <w:name w:val="Normal (Web)"/>
    <w:basedOn w:val="734"/>
    <w:uiPriority w:val="0"/>
    <w:qFormat/>
    <w:pPr>
      <w:jc w:val="left"/>
      <w:spacing w:before="100" w:beforeAutospacing="1" w:after="100" w:afterAutospacing="1"/>
    </w:pPr>
    <w:rPr>
      <w:rFonts w:ascii="Calibri" w:hAnsi="Calibri"/>
      <w:sz w:val="24"/>
      <w:szCs w:val="22"/>
    </w:rPr>
  </w:style>
  <w:style w:type="character" w:styleId="749">
    <w:name w:val="page number"/>
    <w:basedOn w:val="735"/>
    <w:uiPriority w:val="0"/>
    <w:qFormat/>
  </w:style>
  <w:style w:type="character" w:styleId="750">
    <w:name w:val="Hyperlink"/>
    <w:uiPriority w:val="99"/>
    <w:qFormat/>
    <w:rPr>
      <w:color w:val="0000ff"/>
      <w:u w:val="single"/>
    </w:rPr>
  </w:style>
  <w:style w:type="character" w:styleId="751">
    <w:name w:val="annotation reference"/>
    <w:basedOn w:val="735"/>
    <w:uiPriority w:val="0"/>
    <w:qFormat/>
    <w:rPr>
      <w:sz w:val="21"/>
      <w:szCs w:val="21"/>
    </w:rPr>
  </w:style>
  <w:style w:type="table" w:styleId="752">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53" w:customStyle="1">
    <w:name w:val="标题 41"/>
    <w:basedOn w:val="734"/>
    <w:next w:val="734"/>
    <w:uiPriority w:val="9"/>
    <w:qFormat/>
    <w:pPr>
      <w:keepLines/>
      <w:keepNext/>
      <w:spacing w:before="320" w:after="200"/>
      <w:outlineLvl w:val="3"/>
    </w:pPr>
    <w:rPr>
      <w:rFonts w:ascii="Arial" w:hAnsi="Arial" w:eastAsia="Arial" w:cs="Arial"/>
      <w:b/>
      <w:bCs/>
      <w:sz w:val="26"/>
      <w:szCs w:val="26"/>
    </w:rPr>
  </w:style>
  <w:style w:type="paragraph" w:styleId="754" w:customStyle="1">
    <w:name w:val="正文1"/>
    <w:next w:val="734"/>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755" w:customStyle="1">
    <w:name w:val="首行缩进"/>
    <w:basedOn w:val="734"/>
    <w:uiPriority w:val="99"/>
    <w:qFormat/>
    <w:pPr>
      <w:ind w:firstLine="480"/>
    </w:pPr>
    <w:rPr>
      <w:rFonts w:ascii="宋体" w:hAnsi="宋体"/>
      <w:szCs w:val="24"/>
      <w:lang w:val="zh-CN"/>
    </w:rPr>
  </w:style>
  <w:style w:type="paragraph" w:styleId="756" w:customStyle="1">
    <w:name w:val="纯文本1"/>
    <w:basedOn w:val="734"/>
    <w:uiPriority w:val="0"/>
    <w:qFormat/>
    <w:rPr>
      <w:rFonts w:ascii="宋体" w:hAnsi="Courier New"/>
    </w:rPr>
  </w:style>
  <w:style w:type="paragraph" w:styleId="757" w:customStyle="1">
    <w:name w:val="Plain Text1"/>
    <w:basedOn w:val="734"/>
    <w:uiPriority w:val="0"/>
    <w:qFormat/>
    <w:rPr>
      <w:rFonts w:hint="eastAsia" w:ascii="宋体" w:hAnsi="Courier New"/>
    </w:rPr>
  </w:style>
  <w:style w:type="paragraph" w:styleId="758" w:customStyle="1">
    <w:name w:val="纯文本112"/>
    <w:basedOn w:val="734"/>
    <w:uiPriority w:val="0"/>
    <w:qFormat/>
    <w:rPr>
      <w:rFonts w:ascii="宋体" w:hAnsi="Courier New"/>
      <w:sz w:val="26"/>
    </w:rPr>
  </w:style>
  <w:style w:type="paragraph" w:styleId="759" w:customStyle="1">
    <w:name w:val="Plain Text2"/>
    <w:basedOn w:val="734"/>
    <w:uiPriority w:val="99"/>
    <w:qFormat/>
    <w:rPr>
      <w:rFonts w:ascii="宋体" w:hAnsi="Courier New"/>
      <w:sz w:val="26"/>
      <w:szCs w:val="24"/>
    </w:rPr>
  </w:style>
  <w:style w:type="paragraph" w:styleId="760" w:customStyle="1">
    <w:name w:val="Andy_正文"/>
    <w:basedOn w:val="734"/>
    <w:uiPriority w:val="0"/>
    <w:qFormat/>
    <w:pPr>
      <w:ind w:firstLine="480"/>
      <w:spacing w:line="360" w:lineRule="auto"/>
    </w:pPr>
    <w:rPr>
      <w:rFonts w:ascii="Calibri" w:hAnsi="Calibri" w:eastAsia="宋体"/>
      <w:sz w:val="24"/>
      <w:szCs w:val="24"/>
    </w:rPr>
  </w:style>
  <w:style w:type="paragraph" w:styleId="761" w:customStyle="1">
    <w:name w:val="Normal_0_2"/>
    <w:uiPriority w:val="0"/>
    <w:qFormat/>
    <w:rPr>
      <w:rFonts w:ascii="Calibri" w:hAnsi="Calibri" w:eastAsia="Times New Roman" w:cs="Times New Roman"/>
      <w:sz w:val="24"/>
      <w:szCs w:val="24"/>
      <w:lang w:val="en-US" w:eastAsia="zh-CN" w:bidi="ar-SA"/>
    </w:rPr>
  </w:style>
  <w:style w:type="paragraph" w:styleId="762" w:customStyle="1">
    <w:name w:val="普通正文"/>
    <w:basedOn w:val="734"/>
    <w:uiPriority w:val="0"/>
    <w:qFormat/>
    <w:pPr>
      <w:ind w:firstLine="480"/>
      <w:jc w:val="left"/>
      <w:spacing w:before="120" w:after="120" w:line="360" w:lineRule="auto"/>
    </w:pPr>
    <w:rPr>
      <w:rFonts w:ascii="Arial" w:hAnsi="Arial"/>
      <w:sz w:val="24"/>
    </w:rPr>
  </w:style>
  <w:style w:type="paragraph" w:styleId="763" w:customStyle="1">
    <w:name w:val="Normal_19"/>
    <w:uiPriority w:val="0"/>
    <w:qFormat/>
    <w:rPr>
      <w:rFonts w:ascii="Calibri" w:hAnsi="Calibri" w:eastAsia="Times New Roman" w:cs="Times New Roman"/>
      <w:sz w:val="24"/>
      <w:szCs w:val="24"/>
      <w:lang w:val="en-US" w:eastAsia="zh-CN" w:bidi="ar-SA"/>
    </w:rPr>
  </w:style>
  <w:style w:type="paragraph" w:styleId="764" w:customStyle="1">
    <w:name w:val="纯文本3"/>
    <w:basedOn w:val="734"/>
    <w:uiPriority w:val="0"/>
    <w:qFormat/>
    <w:rPr>
      <w:rFonts w:ascii="宋体" w:hAnsi="Courier New"/>
    </w:rPr>
  </w:style>
  <w:style w:type="character" w:styleId="765" w:customStyle="1">
    <w:name w:val="font111"/>
    <w:basedOn w:val="735"/>
    <w:uiPriority w:val="0"/>
    <w:qFormat/>
    <w:rPr>
      <w:rFonts w:hint="eastAsia" w:ascii="微软雅黑" w:hAnsi="微软雅黑" w:eastAsia="微软雅黑" w:cs="微软雅黑"/>
      <w:color w:val="000000"/>
      <w:sz w:val="28"/>
      <w:szCs w:val="28"/>
      <w:u w:val="none"/>
    </w:rPr>
  </w:style>
  <w:style w:type="character" w:styleId="766" w:customStyle="1">
    <w:name w:val="font71"/>
    <w:basedOn w:val="735"/>
    <w:uiPriority w:val="0"/>
    <w:qFormat/>
    <w:rPr>
      <w:rFonts w:hint="eastAsia" w:ascii="微软雅黑" w:hAnsi="微软雅黑" w:eastAsia="微软雅黑" w:cs="微软雅黑"/>
      <w:color w:val="ff0000"/>
      <w:sz w:val="28"/>
      <w:szCs w:val="28"/>
      <w:u w:val="none"/>
    </w:rPr>
  </w:style>
  <w:style w:type="numbering" w:styleId="206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WQQ</dc:creator>
  <cp:lastModifiedBy>许晗</cp:lastModifiedBy>
  <cp:revision>2</cp:revision>
  <dcterms:created xsi:type="dcterms:W3CDTF">2025-04-09T03:31:00Z</dcterms:created>
  <dcterms:modified xsi:type="dcterms:W3CDTF">2025-12-17T07:50:37Z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C37B0B1F54C1481BAECCB7FAAE0720B0_13</vt:lpwstr>
  </property>
  <property fmtid="{D5CDD505-2E9C-101B-9397-08002B2CF9AE}" pid="4" name="KSOTemplateDocerSaveRecord">
    <vt:lpwstr>eyJoZGlkIjoiN2ZiMWU4NjE2ZThjZWFmNTIyNjY1N2Y2MGM4NGU0YzgiLCJ1c2VySWQiOiI5NjIwMzgwNzkifQ==</vt:lpwstr>
  </property>
</Properties>
</file>